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jc w:val="center"/>
        <w:rPr>
          <w:rFonts w:ascii="宋体" w:hAnsi="宋体"/>
        </w:rPr>
      </w:pPr>
      <w:r>
        <w:rPr>
          <w:rFonts w:hint="eastAsia" w:ascii="宋体" w:hAnsi="宋体"/>
          <w:b/>
        </w:rPr>
        <w:t>京东安联财产保险有限公司</w:t>
      </w:r>
    </w:p>
    <w:p>
      <w:pPr>
        <w:spacing w:line="240" w:lineRule="auto"/>
        <w:jc w:val="center"/>
        <w:rPr>
          <w:rFonts w:ascii="宋体" w:hAnsi="宋体"/>
          <w:b/>
          <w:lang w:val="en-CA"/>
        </w:rPr>
      </w:pPr>
      <w:r>
        <w:rPr>
          <w:rFonts w:hint="eastAsia" w:ascii="宋体" w:hAnsi="宋体"/>
          <w:b/>
        </w:rPr>
        <w:t>旅行人身意外伤害保险条款</w:t>
      </w:r>
      <w:r>
        <w:rPr>
          <w:rFonts w:hint="eastAsia" w:ascii="宋体" w:hAnsi="宋体"/>
          <w:b/>
          <w:lang w:val="en-CA"/>
        </w:rPr>
        <w:t>（休闲运动版）</w:t>
      </w:r>
    </w:p>
    <w:p>
      <w:pPr>
        <w:spacing w:line="240" w:lineRule="auto"/>
        <w:jc w:val="center"/>
        <w:rPr>
          <w:rFonts w:ascii="Segoe UI" w:hAnsi="Segoe UI" w:cs="Segoe UI"/>
          <w:color w:val="000000"/>
          <w:szCs w:val="21"/>
          <w:shd w:val="clear" w:color="auto" w:fill="FFFFFF"/>
        </w:rPr>
      </w:pPr>
      <w:r>
        <w:rPr>
          <w:rFonts w:ascii="Segoe UI" w:hAnsi="Segoe UI" w:cs="Segoe UI"/>
          <w:color w:val="000000"/>
          <w:szCs w:val="21"/>
          <w:shd w:val="clear" w:color="auto" w:fill="FFFFFF"/>
        </w:rPr>
        <w:t>C00005032312022070120983</w:t>
      </w:r>
    </w:p>
    <w:tbl>
      <w:tblPr>
        <w:tblStyle w:val="2"/>
        <w:tblW w:w="11341" w:type="dxa"/>
        <w:tblInd w:w="-176" w:type="dxa"/>
        <w:tblLayout w:type="autofit"/>
        <w:tblCellMar>
          <w:top w:w="0" w:type="dxa"/>
          <w:left w:w="108" w:type="dxa"/>
          <w:bottom w:w="0" w:type="dxa"/>
          <w:right w:w="108" w:type="dxa"/>
        </w:tblCellMar>
      </w:tblPr>
      <w:tblGrid>
        <w:gridCol w:w="1241"/>
        <w:gridCol w:w="10100"/>
      </w:tblGrid>
      <w:tr>
        <w:tblPrEx>
          <w:tblCellMar>
            <w:top w:w="0" w:type="dxa"/>
            <w:left w:w="108" w:type="dxa"/>
            <w:bottom w:w="0" w:type="dxa"/>
            <w:right w:w="108" w:type="dxa"/>
          </w:tblCellMar>
        </w:tblPrEx>
        <w:tc>
          <w:tcPr>
            <w:tcW w:w="1241" w:type="dxa"/>
            <w:noWrap w:val="0"/>
            <w:vAlign w:val="top"/>
          </w:tcPr>
          <w:p>
            <w:pPr>
              <w:spacing w:line="240" w:lineRule="auto"/>
              <w:rPr>
                <w:sz w:val="18"/>
                <w:szCs w:val="18"/>
              </w:rPr>
            </w:pPr>
            <w:r>
              <w:rPr>
                <w:rFonts w:ascii="仿宋_GB2312" w:hAnsi="宋体" w:eastAsia="仿宋_GB2312"/>
                <w:b/>
                <w:sz w:val="18"/>
                <w:szCs w:val="18"/>
              </w:rPr>
              <w:t>6</w:t>
            </w:r>
            <w:r>
              <w:rPr>
                <w:rFonts w:hint="eastAsia" w:ascii="仿宋_GB2312" w:hAnsi="宋体" w:eastAsia="仿宋_GB2312"/>
                <w:b/>
                <w:sz w:val="18"/>
                <w:szCs w:val="18"/>
              </w:rPr>
              <w:t>.</w:t>
            </w:r>
            <w:r>
              <w:rPr>
                <w:rFonts w:hint="eastAsia" w:ascii="宋体" w:hAnsi="宋体"/>
                <w:b/>
              </w:rPr>
              <w:t xml:space="preserve"> </w:t>
            </w:r>
            <w:r>
              <w:rPr>
                <w:rFonts w:hint="eastAsia" w:ascii="仿宋_GB2312" w:hAnsi="宋体" w:eastAsia="仿宋_GB2312"/>
                <w:b/>
                <w:sz w:val="18"/>
                <w:szCs w:val="18"/>
              </w:rPr>
              <w:t>责任免除</w:t>
            </w:r>
          </w:p>
        </w:tc>
        <w:tc>
          <w:tcPr>
            <w:tcW w:w="10100" w:type="dxa"/>
            <w:noWrap w:val="0"/>
            <w:vAlign w:val="top"/>
          </w:tcPr>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因下列情形造成被保险人身故或伤残的，或具备下列任一情形的，或在下列期间的，保险人不承担给付保险金责任：</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投保人或被保险人的故意行为；</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被保险人自致伤害或自杀，</w:t>
            </w:r>
            <w:r>
              <w:rPr>
                <w:rFonts w:hint="eastAsia" w:ascii="仿宋_GB2312" w:hAnsi="宋体" w:eastAsia="仿宋_GB2312"/>
                <w:sz w:val="18"/>
                <w:szCs w:val="18"/>
              </w:rPr>
              <w:t>但被保险人自杀时为无民事行为能力人的除外；</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被保险人实施或企图实施违法行为、犯罪行为或拒捕；</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因被保险人挑衅或故意行为而导致的打斗、殴斗、被袭击或被谋杀；</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被保险人因精神错乱或失常而导致的意外；</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任何生物、化学、原子能武器，原子能或核能装置所造成的爆炸、灼伤、污染或辐射；</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被保险人妊娠（含宫外孕）、流产（含任何原因所导致的流产和人工流产）、分娩（含剖腹产）、不孕不育；</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被保险人疾病、药物过敏、猝死</w:t>
            </w:r>
            <w:r>
              <w:rPr>
                <w:rFonts w:hint="eastAsia" w:ascii="仿宋_GB2312" w:hAnsi="宋体" w:eastAsia="仿宋_GB2312"/>
                <w:sz w:val="18"/>
                <w:szCs w:val="18"/>
              </w:rPr>
              <w:t>（见释义2</w:t>
            </w:r>
            <w:r>
              <w:rPr>
                <w:rFonts w:ascii="仿宋_GB2312" w:hAnsi="宋体" w:eastAsia="仿宋_GB2312"/>
                <w:sz w:val="18"/>
                <w:szCs w:val="18"/>
              </w:rPr>
              <w:t>1</w:t>
            </w:r>
            <w:r>
              <w:rPr>
                <w:rFonts w:hint="eastAsia" w:ascii="仿宋_GB2312" w:hAnsi="宋体" w:eastAsia="仿宋_GB2312"/>
                <w:sz w:val="18"/>
                <w:szCs w:val="18"/>
              </w:rPr>
              <w:t>.</w:t>
            </w:r>
            <w:r>
              <w:rPr>
                <w:rFonts w:ascii="仿宋_GB2312" w:hAnsi="宋体" w:eastAsia="仿宋_GB2312"/>
                <w:sz w:val="18"/>
                <w:szCs w:val="18"/>
              </w:rPr>
              <w:t>9</w:t>
            </w:r>
            <w:r>
              <w:rPr>
                <w:rFonts w:hint="eastAsia" w:ascii="仿宋_GB2312" w:hAnsi="宋体" w:eastAsia="仿宋_GB2312"/>
                <w:sz w:val="18"/>
                <w:szCs w:val="18"/>
              </w:rPr>
              <w:t>）</w:t>
            </w:r>
            <w:r>
              <w:rPr>
                <w:rFonts w:hint="eastAsia" w:ascii="仿宋_GB2312" w:hAnsi="宋体" w:eastAsia="仿宋_GB2312"/>
                <w:b/>
                <w:sz w:val="18"/>
                <w:szCs w:val="18"/>
              </w:rPr>
              <w:t>；</w:t>
            </w:r>
          </w:p>
          <w:p>
            <w:pPr>
              <w:numPr>
                <w:ilvl w:val="0"/>
                <w:numId w:val="1"/>
              </w:numPr>
              <w:tabs>
                <w:tab w:val="left" w:pos="0"/>
              </w:tabs>
              <w:snapToGrid w:val="0"/>
              <w:rPr>
                <w:rFonts w:hint="eastAsia" w:ascii="仿宋_GB2312" w:hAnsi="宋体" w:eastAsia="仿宋_GB2312"/>
                <w:b/>
                <w:sz w:val="18"/>
                <w:szCs w:val="18"/>
              </w:rPr>
            </w:pPr>
            <w:r>
              <w:rPr>
                <w:rFonts w:hint="eastAsia" w:ascii="仿宋_GB2312" w:hAnsi="宋体" w:eastAsia="仿宋_GB2312"/>
                <w:b/>
                <w:sz w:val="18"/>
                <w:szCs w:val="18"/>
              </w:rPr>
              <w:t>被保险人任何因整容、整形手术、内外科手术或其他医疗行为导致的伤害；</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被保险人未遵医嘱，私自服用、涂用、注射药物；</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保险合同生效前已存在的受伤及其并发症；</w:t>
            </w:r>
          </w:p>
          <w:p>
            <w:pPr>
              <w:numPr>
                <w:ilvl w:val="0"/>
                <w:numId w:val="1"/>
              </w:numPr>
              <w:spacing w:line="240" w:lineRule="auto"/>
              <w:rPr>
                <w:rFonts w:hint="eastAsia" w:ascii="仿宋_GB2312" w:hAnsi="宋体" w:eastAsia="仿宋_GB2312"/>
                <w:sz w:val="18"/>
                <w:szCs w:val="18"/>
              </w:rPr>
            </w:pPr>
            <w:r>
              <w:rPr>
                <w:rFonts w:hint="eastAsia" w:ascii="仿宋_GB2312" w:hAnsi="宋体" w:eastAsia="仿宋_GB2312"/>
                <w:b/>
                <w:sz w:val="18"/>
                <w:szCs w:val="18"/>
              </w:rPr>
              <w:t>被保险人进行滑翔翼、滑翔伞、跳伞、探险活动</w:t>
            </w:r>
            <w:r>
              <w:rPr>
                <w:rFonts w:hint="eastAsia" w:ascii="仿宋_GB2312" w:hAnsi="宋体" w:eastAsia="仿宋_GB2312"/>
                <w:sz w:val="18"/>
                <w:szCs w:val="18"/>
              </w:rPr>
              <w:t>（见释义2</w:t>
            </w:r>
            <w:r>
              <w:rPr>
                <w:rFonts w:ascii="仿宋_GB2312" w:hAnsi="宋体" w:eastAsia="仿宋_GB2312"/>
                <w:sz w:val="18"/>
                <w:szCs w:val="18"/>
              </w:rPr>
              <w:t>1</w:t>
            </w:r>
            <w:r>
              <w:rPr>
                <w:rFonts w:hint="eastAsia" w:ascii="仿宋_GB2312" w:hAnsi="宋体" w:eastAsia="仿宋_GB2312"/>
                <w:sz w:val="18"/>
                <w:szCs w:val="18"/>
              </w:rPr>
              <w:t>.</w:t>
            </w:r>
            <w:r>
              <w:rPr>
                <w:rFonts w:ascii="仿宋_GB2312" w:hAnsi="宋体" w:eastAsia="仿宋_GB2312"/>
                <w:sz w:val="18"/>
                <w:szCs w:val="18"/>
              </w:rPr>
              <w:t>10</w:t>
            </w:r>
            <w:r>
              <w:rPr>
                <w:rFonts w:hint="eastAsia" w:ascii="仿宋_GB2312" w:hAnsi="宋体" w:eastAsia="仿宋_GB2312"/>
                <w:sz w:val="18"/>
                <w:szCs w:val="18"/>
              </w:rPr>
              <w:t>）</w:t>
            </w:r>
            <w:r>
              <w:rPr>
                <w:rFonts w:hint="eastAsia" w:ascii="仿宋_GB2312" w:hAnsi="宋体" w:eastAsia="仿宋_GB2312"/>
                <w:b/>
                <w:sz w:val="18"/>
                <w:szCs w:val="18"/>
              </w:rPr>
              <w:t>、非固定路线洞穴探险、特技表演</w:t>
            </w:r>
            <w:r>
              <w:rPr>
                <w:rFonts w:hint="eastAsia" w:ascii="仿宋_GB2312" w:hAnsi="宋体" w:eastAsia="仿宋_GB2312"/>
                <w:sz w:val="18"/>
                <w:szCs w:val="18"/>
              </w:rPr>
              <w:t>（见释义2</w:t>
            </w:r>
            <w:r>
              <w:rPr>
                <w:rFonts w:ascii="仿宋_GB2312" w:hAnsi="宋体" w:eastAsia="仿宋_GB2312"/>
                <w:sz w:val="18"/>
                <w:szCs w:val="18"/>
              </w:rPr>
              <w:t>1</w:t>
            </w:r>
            <w:r>
              <w:rPr>
                <w:rFonts w:hint="eastAsia" w:ascii="仿宋_GB2312" w:hAnsi="宋体" w:eastAsia="仿宋_GB2312"/>
                <w:sz w:val="18"/>
                <w:szCs w:val="18"/>
              </w:rPr>
              <w:t>.1</w:t>
            </w:r>
            <w:r>
              <w:rPr>
                <w:rFonts w:ascii="仿宋_GB2312" w:hAnsi="宋体" w:eastAsia="仿宋_GB2312"/>
                <w:sz w:val="18"/>
                <w:szCs w:val="18"/>
              </w:rPr>
              <w:t>1</w:t>
            </w:r>
            <w:r>
              <w:rPr>
                <w:rFonts w:hint="eastAsia" w:ascii="仿宋_GB2312" w:hAnsi="宋体" w:eastAsia="仿宋_GB2312"/>
                <w:sz w:val="18"/>
                <w:szCs w:val="18"/>
              </w:rPr>
              <w:t>）</w:t>
            </w:r>
            <w:r>
              <w:rPr>
                <w:rFonts w:hint="eastAsia" w:ascii="仿宋_GB2312" w:hAnsi="宋体" w:eastAsia="仿宋_GB2312"/>
                <w:b/>
                <w:sz w:val="18"/>
                <w:szCs w:val="18"/>
              </w:rPr>
              <w:t>，任何海拔6,000米以上的户外运动及潜水深度大于18米的活动期间。</w:t>
            </w:r>
            <w:r>
              <w:rPr>
                <w:rFonts w:hint="eastAsia" w:ascii="仿宋_GB2312" w:hAnsi="宋体" w:eastAsia="仿宋_GB2312"/>
                <w:sz w:val="18"/>
                <w:szCs w:val="18"/>
              </w:rPr>
              <w:t>如保险人进行风险评估后同意承保，并于保险单中载明时，不受本责任免除的限制；</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被保险人进行高风险活动</w:t>
            </w:r>
            <w:r>
              <w:rPr>
                <w:rFonts w:hint="eastAsia" w:ascii="仿宋_GB2312" w:hAnsi="宋体" w:eastAsia="仿宋_GB2312"/>
                <w:sz w:val="18"/>
                <w:szCs w:val="18"/>
              </w:rPr>
              <w:t>（见释义2</w:t>
            </w:r>
            <w:r>
              <w:rPr>
                <w:rFonts w:ascii="仿宋_GB2312" w:hAnsi="宋体" w:eastAsia="仿宋_GB2312"/>
                <w:sz w:val="18"/>
                <w:szCs w:val="18"/>
              </w:rPr>
              <w:t>1.12</w:t>
            </w:r>
            <w:r>
              <w:rPr>
                <w:rFonts w:hint="eastAsia" w:ascii="仿宋_GB2312" w:hAnsi="宋体" w:eastAsia="仿宋_GB2312"/>
                <w:sz w:val="18"/>
                <w:szCs w:val="18"/>
              </w:rPr>
              <w:t>）</w:t>
            </w:r>
            <w:r>
              <w:rPr>
                <w:rFonts w:hint="eastAsia" w:ascii="仿宋_GB2312" w:hAnsi="宋体" w:eastAsia="仿宋_GB2312"/>
                <w:b/>
                <w:sz w:val="18"/>
                <w:szCs w:val="18"/>
              </w:rPr>
              <w:t>或其他本保险合同双方约定并于保险单中载明的不承保的活动。</w:t>
            </w:r>
            <w:r>
              <w:rPr>
                <w:rFonts w:hint="eastAsia" w:ascii="仿宋_GB2312" w:hAnsi="宋体" w:eastAsia="仿宋_GB2312"/>
                <w:sz w:val="18"/>
                <w:szCs w:val="18"/>
              </w:rPr>
              <w:t>如保险人进行风险评估后同意承保，并于保险单中载明时，不受本责任免除的限制；</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被保险人参与任何职业体育活动或任何设有奖金或报酬的体育运动；</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被保险人参与执行军警任务或以执法身份执行任务； </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受雇于商业船舶并执行职务；于海军、空军等服军役；职业性操作或测试任何种类交通工具；从事石油或化工业、森林砍伐业、建筑工程业、运输业、采掘业、采矿业、空中摄影、处理爆炸物、水上作业、高空作业</w:t>
            </w:r>
            <w:r>
              <w:rPr>
                <w:rFonts w:hint="eastAsia" w:ascii="仿宋_GB2312" w:hAnsi="宋体" w:eastAsia="仿宋_GB2312"/>
                <w:sz w:val="18"/>
                <w:szCs w:val="18"/>
              </w:rPr>
              <w:t>（见释义2</w:t>
            </w:r>
            <w:r>
              <w:rPr>
                <w:rFonts w:ascii="仿宋_GB2312" w:hAnsi="宋体" w:eastAsia="仿宋_GB2312"/>
                <w:sz w:val="18"/>
                <w:szCs w:val="18"/>
              </w:rPr>
              <w:t>1</w:t>
            </w:r>
            <w:r>
              <w:rPr>
                <w:rFonts w:hint="eastAsia" w:ascii="仿宋_GB2312" w:hAnsi="宋体" w:eastAsia="仿宋_GB2312"/>
                <w:sz w:val="18"/>
                <w:szCs w:val="18"/>
              </w:rPr>
              <w:t>.</w:t>
            </w:r>
            <w:r>
              <w:rPr>
                <w:rFonts w:ascii="仿宋_GB2312" w:hAnsi="宋体" w:eastAsia="仿宋_GB2312"/>
                <w:sz w:val="18"/>
                <w:szCs w:val="18"/>
              </w:rPr>
              <w:t>13</w:t>
            </w:r>
            <w:r>
              <w:rPr>
                <w:rFonts w:hint="eastAsia" w:ascii="仿宋_GB2312" w:hAnsi="宋体" w:eastAsia="仿宋_GB2312"/>
                <w:sz w:val="18"/>
                <w:szCs w:val="18"/>
              </w:rPr>
              <w:t>）</w:t>
            </w:r>
            <w:r>
              <w:rPr>
                <w:rFonts w:hint="eastAsia" w:ascii="仿宋_GB2312" w:hAnsi="宋体" w:eastAsia="仿宋_GB2312"/>
                <w:b/>
                <w:sz w:val="18"/>
                <w:szCs w:val="18"/>
              </w:rPr>
              <w:t>等职业活动（任何体力劳动或与操作机器有关的工作）；</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非法搭乘交通工具或搭乘未经保险事故发生地相关政府部门登记许可的交通工具；</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航空或飞行活动，包括身为飞行驾驶员或空勤人员，但以缴费乘客身份乘坐客运民航班机或参与飞行活动的除外；</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被保险人以接受医生</w:t>
            </w:r>
            <w:r>
              <w:rPr>
                <w:rFonts w:hint="eastAsia" w:ascii="仿宋_GB2312" w:hAnsi="宋体" w:eastAsia="仿宋_GB2312"/>
                <w:sz w:val="18"/>
                <w:szCs w:val="18"/>
              </w:rPr>
              <w:t>（见释义2</w:t>
            </w:r>
            <w:r>
              <w:rPr>
                <w:rFonts w:ascii="仿宋_GB2312" w:hAnsi="宋体" w:eastAsia="仿宋_GB2312"/>
                <w:sz w:val="18"/>
                <w:szCs w:val="18"/>
              </w:rPr>
              <w:t>1</w:t>
            </w:r>
            <w:r>
              <w:rPr>
                <w:rFonts w:hint="eastAsia" w:ascii="仿宋_GB2312" w:hAnsi="宋体" w:eastAsia="仿宋_GB2312"/>
                <w:sz w:val="18"/>
                <w:szCs w:val="18"/>
              </w:rPr>
              <w:t>.</w:t>
            </w:r>
            <w:r>
              <w:rPr>
                <w:rFonts w:ascii="仿宋_GB2312" w:hAnsi="宋体" w:eastAsia="仿宋_GB2312"/>
                <w:sz w:val="18"/>
                <w:szCs w:val="18"/>
              </w:rPr>
              <w:t>14</w:t>
            </w:r>
            <w:r>
              <w:rPr>
                <w:rFonts w:hint="eastAsia" w:ascii="仿宋_GB2312" w:hAnsi="宋体" w:eastAsia="仿宋_GB2312"/>
                <w:sz w:val="18"/>
                <w:szCs w:val="18"/>
              </w:rPr>
              <w:t>）</w:t>
            </w:r>
            <w:r>
              <w:rPr>
                <w:rFonts w:hint="eastAsia" w:ascii="仿宋_GB2312" w:hAnsi="宋体" w:eastAsia="仿宋_GB2312"/>
                <w:b/>
                <w:sz w:val="18"/>
                <w:szCs w:val="18"/>
              </w:rPr>
              <w:t>治疗或疗养为目的而进行旅行；被保险人违反医生的嘱咐而旅行或当被保险人在其身体条件不适宜于旅行时进行旅行；</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被保险人身体状况尚适宜旅行情况下未遵循主治医生建议立即返回中国境内或被保险人日常居住地或日常工作地做进一步治疗而导致病情恶化所引致的损失；</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战争（无论宣战与否）、军事行动、暴动或武装叛乱期间；</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被保险人醉酒或受毒品、管制药品</w:t>
            </w:r>
            <w:r>
              <w:rPr>
                <w:rFonts w:hint="eastAsia" w:ascii="仿宋_GB2312" w:hAnsi="宋体" w:eastAsia="仿宋_GB2312"/>
                <w:sz w:val="18"/>
                <w:szCs w:val="18"/>
              </w:rPr>
              <w:t>（见释义2</w:t>
            </w:r>
            <w:r>
              <w:rPr>
                <w:rFonts w:ascii="仿宋_GB2312" w:hAnsi="宋体" w:eastAsia="仿宋_GB2312"/>
                <w:sz w:val="18"/>
                <w:szCs w:val="18"/>
              </w:rPr>
              <w:t>1</w:t>
            </w:r>
            <w:r>
              <w:rPr>
                <w:rFonts w:hint="eastAsia" w:ascii="仿宋_GB2312" w:hAnsi="宋体" w:eastAsia="仿宋_GB2312"/>
                <w:sz w:val="18"/>
                <w:szCs w:val="18"/>
              </w:rPr>
              <w:t>.</w:t>
            </w:r>
            <w:r>
              <w:rPr>
                <w:rFonts w:ascii="仿宋_GB2312" w:hAnsi="宋体" w:eastAsia="仿宋_GB2312"/>
                <w:sz w:val="18"/>
                <w:szCs w:val="18"/>
              </w:rPr>
              <w:t>15</w:t>
            </w:r>
            <w:r>
              <w:rPr>
                <w:rFonts w:hint="eastAsia" w:ascii="仿宋_GB2312" w:hAnsi="宋体" w:eastAsia="仿宋_GB2312"/>
                <w:sz w:val="18"/>
                <w:szCs w:val="18"/>
              </w:rPr>
              <w:t>）</w:t>
            </w:r>
            <w:r>
              <w:rPr>
                <w:rFonts w:hint="eastAsia" w:ascii="仿宋_GB2312" w:hAnsi="宋体" w:eastAsia="仿宋_GB2312"/>
                <w:b/>
                <w:sz w:val="18"/>
                <w:szCs w:val="18"/>
              </w:rPr>
              <w:t>的影响期间；</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被保险人酒后驾车、无有效驾驶证驾驶</w:t>
            </w:r>
            <w:r>
              <w:rPr>
                <w:rFonts w:hint="eastAsia" w:ascii="仿宋_GB2312" w:hAnsi="宋体" w:eastAsia="仿宋_GB2312"/>
                <w:sz w:val="18"/>
                <w:szCs w:val="18"/>
              </w:rPr>
              <w:t>（见释义2</w:t>
            </w:r>
            <w:r>
              <w:rPr>
                <w:rFonts w:ascii="仿宋_GB2312" w:hAnsi="宋体" w:eastAsia="仿宋_GB2312"/>
                <w:sz w:val="18"/>
                <w:szCs w:val="18"/>
              </w:rPr>
              <w:t>1</w:t>
            </w:r>
            <w:r>
              <w:rPr>
                <w:rFonts w:hint="eastAsia" w:ascii="仿宋_GB2312" w:hAnsi="宋体" w:eastAsia="仿宋_GB2312"/>
                <w:sz w:val="18"/>
                <w:szCs w:val="18"/>
              </w:rPr>
              <w:t>.</w:t>
            </w:r>
            <w:r>
              <w:rPr>
                <w:rFonts w:ascii="仿宋_GB2312" w:hAnsi="宋体" w:eastAsia="仿宋_GB2312"/>
                <w:sz w:val="18"/>
                <w:szCs w:val="18"/>
              </w:rPr>
              <w:t>16</w:t>
            </w:r>
            <w:r>
              <w:rPr>
                <w:rFonts w:hint="eastAsia" w:ascii="仿宋_GB2312" w:hAnsi="宋体" w:eastAsia="仿宋_GB2312"/>
                <w:sz w:val="18"/>
                <w:szCs w:val="18"/>
              </w:rPr>
              <w:t>）</w:t>
            </w:r>
            <w:r>
              <w:rPr>
                <w:rFonts w:hint="eastAsia" w:ascii="仿宋_GB2312" w:hAnsi="宋体" w:eastAsia="仿宋_GB2312"/>
                <w:b/>
                <w:sz w:val="18"/>
                <w:szCs w:val="18"/>
              </w:rPr>
              <w:t>或驾驶无有效行驶证</w:t>
            </w:r>
            <w:r>
              <w:rPr>
                <w:rFonts w:hint="eastAsia" w:ascii="仿宋_GB2312" w:hAnsi="宋体" w:eastAsia="仿宋_GB2312"/>
                <w:sz w:val="18"/>
                <w:szCs w:val="18"/>
              </w:rPr>
              <w:t>（见释义2</w:t>
            </w:r>
            <w:r>
              <w:rPr>
                <w:rFonts w:ascii="仿宋_GB2312" w:hAnsi="宋体" w:eastAsia="仿宋_GB2312"/>
                <w:sz w:val="18"/>
                <w:szCs w:val="18"/>
              </w:rPr>
              <w:t>1</w:t>
            </w:r>
            <w:r>
              <w:rPr>
                <w:rFonts w:hint="eastAsia" w:ascii="仿宋_GB2312" w:hAnsi="宋体" w:eastAsia="仿宋_GB2312"/>
                <w:sz w:val="18"/>
                <w:szCs w:val="18"/>
              </w:rPr>
              <w:t>.</w:t>
            </w:r>
            <w:r>
              <w:rPr>
                <w:rFonts w:ascii="仿宋_GB2312" w:hAnsi="宋体" w:eastAsia="仿宋_GB2312"/>
                <w:sz w:val="18"/>
                <w:szCs w:val="18"/>
              </w:rPr>
              <w:t>17</w:t>
            </w:r>
            <w:r>
              <w:rPr>
                <w:rFonts w:hint="eastAsia" w:ascii="仿宋_GB2312" w:hAnsi="宋体" w:eastAsia="仿宋_GB2312"/>
                <w:sz w:val="18"/>
                <w:szCs w:val="18"/>
              </w:rPr>
              <w:t>）</w:t>
            </w:r>
            <w:r>
              <w:rPr>
                <w:rFonts w:hint="eastAsia" w:ascii="仿宋_GB2312" w:hAnsi="宋体" w:eastAsia="仿宋_GB2312"/>
                <w:b/>
                <w:sz w:val="18"/>
                <w:szCs w:val="18"/>
              </w:rPr>
              <w:t>的机动车期间；</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被保险人因受当地司法当局拘禁或被判入狱期间；</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投保本保险时被保险人已置身于中华人民共和国境外；</w:t>
            </w:r>
          </w:p>
          <w:p>
            <w:pPr>
              <w:numPr>
                <w:ilvl w:val="0"/>
                <w:numId w:val="1"/>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被保险人食物中毒、中暑、高原反应特定疾病</w:t>
            </w:r>
            <w:r>
              <w:rPr>
                <w:rFonts w:hint="eastAsia" w:ascii="仿宋_GB2312" w:hAnsi="宋体" w:eastAsia="仿宋_GB2312"/>
                <w:sz w:val="18"/>
                <w:szCs w:val="18"/>
              </w:rPr>
              <w:t>(见释义</w:t>
            </w:r>
            <w:r>
              <w:rPr>
                <w:rFonts w:ascii="仿宋_GB2312" w:hAnsi="宋体" w:eastAsia="仿宋_GB2312"/>
                <w:sz w:val="18"/>
                <w:szCs w:val="18"/>
              </w:rPr>
              <w:t>21.18</w:t>
            </w:r>
            <w:r>
              <w:rPr>
                <w:rFonts w:hint="eastAsia" w:ascii="仿宋_GB2312" w:hAnsi="宋体" w:eastAsia="仿宋_GB2312"/>
                <w:sz w:val="18"/>
                <w:szCs w:val="18"/>
              </w:rPr>
              <w:t>)</w:t>
            </w:r>
            <w:r>
              <w:rPr>
                <w:rFonts w:hint="eastAsia" w:ascii="仿宋_GB2312" w:hAnsi="宋体" w:eastAsia="仿宋_GB2312"/>
                <w:b/>
                <w:sz w:val="18"/>
                <w:szCs w:val="18"/>
              </w:rPr>
              <w:t>及其并发症、潜水特定疾病</w:t>
            </w:r>
            <w:r>
              <w:rPr>
                <w:rFonts w:hint="eastAsia" w:ascii="仿宋_GB2312" w:hAnsi="宋体" w:eastAsia="仿宋_GB2312"/>
                <w:sz w:val="18"/>
                <w:szCs w:val="18"/>
              </w:rPr>
              <w:t>(见释义</w:t>
            </w:r>
            <w:r>
              <w:rPr>
                <w:rFonts w:ascii="仿宋_GB2312" w:hAnsi="宋体" w:eastAsia="仿宋_GB2312"/>
                <w:sz w:val="18"/>
                <w:szCs w:val="18"/>
              </w:rPr>
              <w:t>21.19</w:t>
            </w:r>
            <w:r>
              <w:rPr>
                <w:rFonts w:hint="eastAsia" w:ascii="仿宋_GB2312" w:hAnsi="宋体" w:eastAsia="仿宋_GB2312"/>
                <w:sz w:val="18"/>
                <w:szCs w:val="18"/>
              </w:rPr>
              <w:t>)</w:t>
            </w:r>
            <w:r>
              <w:rPr>
                <w:rFonts w:hint="eastAsia" w:ascii="仿宋_GB2312" w:hAnsi="宋体" w:eastAsia="仿宋_GB2312"/>
                <w:b/>
                <w:sz w:val="18"/>
                <w:szCs w:val="18"/>
              </w:rPr>
              <w:t>及其并发症；</w:t>
            </w:r>
          </w:p>
          <w:p>
            <w:pPr>
              <w:numPr>
                <w:ilvl w:val="0"/>
                <w:numId w:val="1"/>
              </w:numPr>
              <w:spacing w:line="240" w:lineRule="auto"/>
              <w:rPr>
                <w:rFonts w:ascii="仿宋_GB2312" w:hAnsi="宋体" w:eastAsia="仿宋_GB2312"/>
                <w:b/>
                <w:sz w:val="18"/>
                <w:szCs w:val="18"/>
              </w:rPr>
            </w:pPr>
            <w:r>
              <w:rPr>
                <w:rFonts w:hint="eastAsia" w:ascii="仿宋_GB2312" w:hAnsi="宋体" w:eastAsia="仿宋_GB2312"/>
                <w:b/>
                <w:sz w:val="18"/>
                <w:szCs w:val="18"/>
              </w:rPr>
              <w:t>被保险人受细菌、病毒或寄生虫感染（包含流行疫病</w:t>
            </w:r>
            <w:r>
              <w:rPr>
                <w:rFonts w:hint="eastAsia" w:ascii="仿宋_GB2312" w:hAnsi="宋体" w:eastAsia="仿宋_GB2312"/>
                <w:sz w:val="18"/>
                <w:szCs w:val="18"/>
              </w:rPr>
              <w:t>（见释义2</w:t>
            </w:r>
            <w:r>
              <w:rPr>
                <w:rFonts w:ascii="仿宋_GB2312" w:hAnsi="宋体" w:eastAsia="仿宋_GB2312"/>
                <w:sz w:val="18"/>
                <w:szCs w:val="18"/>
              </w:rPr>
              <w:t>1</w:t>
            </w:r>
            <w:r>
              <w:rPr>
                <w:rFonts w:hint="eastAsia" w:ascii="仿宋_GB2312" w:hAnsi="宋体" w:eastAsia="仿宋_GB2312"/>
                <w:sz w:val="18"/>
                <w:szCs w:val="18"/>
              </w:rPr>
              <w:t>.</w:t>
            </w:r>
            <w:r>
              <w:rPr>
                <w:rFonts w:ascii="仿宋_GB2312" w:hAnsi="宋体" w:eastAsia="仿宋_GB2312"/>
                <w:sz w:val="18"/>
                <w:szCs w:val="18"/>
              </w:rPr>
              <w:t>20</w:t>
            </w:r>
            <w:r>
              <w:rPr>
                <w:rFonts w:hint="eastAsia" w:ascii="仿宋_GB2312" w:hAnsi="宋体" w:eastAsia="仿宋_GB2312"/>
                <w:sz w:val="18"/>
                <w:szCs w:val="18"/>
              </w:rPr>
              <w:t>）</w:t>
            </w:r>
            <w:r>
              <w:rPr>
                <w:rFonts w:hint="eastAsia" w:ascii="仿宋_GB2312" w:hAnsi="宋体" w:eastAsia="仿宋_GB2312"/>
                <w:b/>
                <w:sz w:val="18"/>
                <w:szCs w:val="18"/>
              </w:rPr>
              <w:t>及大规模流行疫病</w:t>
            </w:r>
            <w:r>
              <w:rPr>
                <w:rFonts w:hint="eastAsia" w:ascii="仿宋_GB2312" w:hAnsi="宋体" w:eastAsia="仿宋_GB2312"/>
                <w:sz w:val="18"/>
                <w:szCs w:val="18"/>
              </w:rPr>
              <w:t>（见释义2</w:t>
            </w:r>
            <w:r>
              <w:rPr>
                <w:rFonts w:ascii="仿宋_GB2312" w:hAnsi="宋体" w:eastAsia="仿宋_GB2312"/>
                <w:sz w:val="18"/>
                <w:szCs w:val="18"/>
              </w:rPr>
              <w:t>1</w:t>
            </w:r>
            <w:r>
              <w:rPr>
                <w:rFonts w:hint="eastAsia" w:ascii="仿宋_GB2312" w:hAnsi="宋体" w:eastAsia="仿宋_GB2312"/>
                <w:sz w:val="18"/>
                <w:szCs w:val="18"/>
              </w:rPr>
              <w:t>.</w:t>
            </w:r>
            <w:r>
              <w:rPr>
                <w:rFonts w:ascii="仿宋_GB2312" w:hAnsi="宋体" w:eastAsia="仿宋_GB2312"/>
                <w:sz w:val="18"/>
                <w:szCs w:val="18"/>
              </w:rPr>
              <w:t>21</w:t>
            </w:r>
            <w:r>
              <w:rPr>
                <w:rFonts w:hint="eastAsia" w:ascii="仿宋_GB2312" w:hAnsi="宋体" w:eastAsia="仿宋_GB2312"/>
                <w:sz w:val="18"/>
                <w:szCs w:val="18"/>
              </w:rPr>
              <w:t>）</w:t>
            </w:r>
            <w:r>
              <w:rPr>
                <w:rFonts w:hint="eastAsia" w:ascii="仿宋_GB2312" w:hAnsi="宋体" w:eastAsia="仿宋_GB2312"/>
                <w:b/>
                <w:sz w:val="18"/>
                <w:szCs w:val="18"/>
              </w:rPr>
              <w:t>，但因受伤以致伤口脓肿者除外）。</w:t>
            </w:r>
          </w:p>
          <w:p>
            <w:pPr>
              <w:spacing w:line="240" w:lineRule="auto"/>
              <w:rPr>
                <w:rFonts w:ascii="仿宋_GB2312" w:hAnsi="宋体" w:eastAsia="仿宋_GB2312"/>
                <w:b/>
                <w:sz w:val="18"/>
                <w:szCs w:val="18"/>
              </w:rPr>
            </w:pPr>
          </w:p>
        </w:tc>
      </w:tr>
    </w:tbl>
    <w:p/>
    <w:p>
      <w:pPr>
        <w:pStyle w:val="4"/>
        <w:spacing w:line="240" w:lineRule="auto"/>
        <w:jc w:val="center"/>
        <w:rPr>
          <w:rFonts w:hint="eastAsia" w:ascii="宋体" w:hAnsi="宋体"/>
        </w:rPr>
      </w:pPr>
      <w:r>
        <w:rPr>
          <w:rFonts w:hint="eastAsia" w:ascii="宋体" w:hAnsi="宋体"/>
          <w:b/>
        </w:rPr>
        <w:t>京东安联财产保险有限公司</w:t>
      </w:r>
    </w:p>
    <w:p>
      <w:pPr>
        <w:spacing w:line="240" w:lineRule="auto"/>
        <w:jc w:val="center"/>
        <w:rPr>
          <w:rFonts w:ascii="宋体" w:hAnsi="宋体"/>
          <w:b/>
          <w:kern w:val="0"/>
          <w:szCs w:val="21"/>
        </w:rPr>
      </w:pPr>
      <w:r>
        <w:rPr>
          <w:rFonts w:hint="eastAsia" w:ascii="宋体" w:hAnsi="宋体"/>
          <w:b/>
          <w:kern w:val="0"/>
          <w:szCs w:val="21"/>
        </w:rPr>
        <w:t>附加旅行公共交通工具意外伤害保险条款（2020版）</w:t>
      </w:r>
    </w:p>
    <w:p>
      <w:pPr>
        <w:spacing w:line="240" w:lineRule="auto"/>
        <w:jc w:val="center"/>
        <w:rPr>
          <w:rFonts w:hint="eastAsia" w:ascii="宋体" w:hAnsi="宋体"/>
          <w:b/>
          <w:kern w:val="0"/>
          <w:szCs w:val="21"/>
        </w:rPr>
      </w:pPr>
      <w:r>
        <w:rPr>
          <w:rFonts w:hint="eastAsia" w:ascii="宋体" w:hAnsi="宋体"/>
          <w:b/>
          <w:kern w:val="0"/>
          <w:szCs w:val="21"/>
        </w:rPr>
        <w:t>(京东安联)(备-普通意外保险)【2020】(附) 646号</w:t>
      </w:r>
    </w:p>
    <w:tbl>
      <w:tblPr>
        <w:tblStyle w:val="2"/>
        <w:tblW w:w="11341" w:type="dxa"/>
        <w:tblInd w:w="-176" w:type="dxa"/>
        <w:tblLayout w:type="autofit"/>
        <w:tblCellMar>
          <w:top w:w="0" w:type="dxa"/>
          <w:left w:w="108" w:type="dxa"/>
          <w:bottom w:w="0" w:type="dxa"/>
          <w:right w:w="108" w:type="dxa"/>
        </w:tblCellMar>
      </w:tblPr>
      <w:tblGrid>
        <w:gridCol w:w="1172"/>
        <w:gridCol w:w="10169"/>
      </w:tblGrid>
      <w:tr>
        <w:tblPrEx>
          <w:tblCellMar>
            <w:top w:w="0" w:type="dxa"/>
            <w:left w:w="108" w:type="dxa"/>
            <w:bottom w:w="0" w:type="dxa"/>
            <w:right w:w="108" w:type="dxa"/>
          </w:tblCellMar>
        </w:tblPrEx>
        <w:tc>
          <w:tcPr>
            <w:tcW w:w="1172" w:type="dxa"/>
            <w:shd w:val="clear" w:color="auto" w:fill="auto"/>
            <w:noWrap w:val="0"/>
            <w:vAlign w:val="top"/>
          </w:tcPr>
          <w:p>
            <w:pPr>
              <w:spacing w:line="240" w:lineRule="auto"/>
              <w:rPr>
                <w:sz w:val="18"/>
                <w:szCs w:val="18"/>
              </w:rPr>
            </w:pPr>
            <w:r>
              <w:rPr>
                <w:rFonts w:hint="eastAsia" w:ascii="仿宋_GB2312" w:hAnsi="宋体" w:eastAsia="仿宋_GB2312"/>
                <w:b/>
                <w:sz w:val="18"/>
                <w:szCs w:val="18"/>
              </w:rPr>
              <w:t>3.责任免除</w:t>
            </w:r>
          </w:p>
        </w:tc>
        <w:tc>
          <w:tcPr>
            <w:tcW w:w="10169" w:type="dxa"/>
            <w:shd w:val="clear" w:color="auto" w:fill="auto"/>
            <w:noWrap w:val="0"/>
            <w:vAlign w:val="top"/>
          </w:tcPr>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因下列任一情形直接和间接导致被保险人身故或伤残的，保险人不承担给付保险金的责任：</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投保人或受益人的故意行为； </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被保险人违反承运人关于安全乘坐的规定；</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被保险人故意犯罪或拒捕、自杀、故意自伤； </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被保险人斗殴、酗酒、服用、吸食或注射毒品； </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被保险人酒后驾驶、无合法有效驾驶证驾驶，或驾驶无有效行驶证的机动交通工具； </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被保险人妊娠（包括异位妊娠）、流产、分娩、节育、不孕不育； </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被保险人因精神疾病而导致的意外； </w:t>
            </w:r>
          </w:p>
          <w:p>
            <w:pPr>
              <w:numPr>
                <w:ilvl w:val="0"/>
                <w:numId w:val="2"/>
              </w:numPr>
              <w:tabs>
                <w:tab w:val="left" w:pos="0"/>
              </w:tabs>
              <w:snapToGrid w:val="0"/>
              <w:rPr>
                <w:rFonts w:hint="eastAsia" w:ascii="仿宋_GB2312" w:hAnsi="宋体" w:eastAsia="仿宋_GB2312"/>
                <w:b/>
                <w:sz w:val="18"/>
                <w:szCs w:val="18"/>
              </w:rPr>
            </w:pPr>
            <w:r>
              <w:rPr>
                <w:rFonts w:hint="eastAsia" w:ascii="仿宋_GB2312" w:hAnsi="宋体" w:eastAsia="仿宋_GB2312"/>
                <w:b/>
                <w:sz w:val="18"/>
                <w:szCs w:val="18"/>
              </w:rPr>
              <w:t>被保险人任何因整容、整形手术、内外科手术或其他医疗行为导致的伤害；</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被保险人因受国家管制药物的影响而导致的意外或未遵医嘱，私自服用、涂用、注射药物； </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被保险人患艾滋病或感染艾滋病病毒期间发生的意外伤害； </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公共交通工具自始发地出发以后，未到达目的地之前，在汽车和火车的车厢外部，轮船的甲板之外，飞机的舱门之外所遭受的意外伤害；</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战争、军事行动、暴乱或武装叛乱； </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核爆炸、核辐射或核污染；</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战争（无论宣战与否）、军事行动、暴动或武装叛乱期间；</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被保险人醉酒或受毒品、管制药品的影响期间；</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被保险人酒后驾车、无有效驾驶证驾驶或驾驶无有效行驶证的机动车期间；</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被保险人因受当地司法当局拘禁或被判入狱期间；</w:t>
            </w:r>
          </w:p>
          <w:p>
            <w:pPr>
              <w:numPr>
                <w:ilvl w:val="0"/>
                <w:numId w:val="2"/>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主险条款规定的责任免除事项。</w:t>
            </w:r>
          </w:p>
          <w:p>
            <w:pPr>
              <w:spacing w:line="240" w:lineRule="auto"/>
              <w:rPr>
                <w:rFonts w:hint="eastAsia" w:ascii="仿宋_GB2312" w:hAnsi="宋体" w:eastAsia="仿宋_GB2312"/>
                <w:b/>
                <w:sz w:val="18"/>
                <w:szCs w:val="18"/>
              </w:rPr>
            </w:pPr>
          </w:p>
        </w:tc>
      </w:tr>
    </w:tbl>
    <w:p/>
    <w:p>
      <w:pPr>
        <w:pStyle w:val="4"/>
        <w:spacing w:line="240" w:lineRule="auto"/>
        <w:jc w:val="center"/>
        <w:rPr>
          <w:rFonts w:hint="eastAsia" w:ascii="宋体" w:hAnsi="宋体"/>
        </w:rPr>
      </w:pPr>
      <w:r>
        <w:rPr>
          <w:rFonts w:hint="eastAsia" w:ascii="宋体" w:hAnsi="宋体"/>
          <w:b/>
        </w:rPr>
        <w:t>京东安联财产保险有限公司</w:t>
      </w:r>
    </w:p>
    <w:p>
      <w:pPr>
        <w:spacing w:line="240" w:lineRule="auto"/>
        <w:jc w:val="center"/>
        <w:rPr>
          <w:rFonts w:ascii="宋体" w:hAnsi="宋体"/>
          <w:b/>
          <w:kern w:val="0"/>
          <w:szCs w:val="21"/>
        </w:rPr>
      </w:pPr>
      <w:r>
        <w:rPr>
          <w:rFonts w:hint="eastAsia" w:ascii="宋体" w:hAnsi="宋体"/>
          <w:b/>
          <w:kern w:val="0"/>
          <w:szCs w:val="21"/>
        </w:rPr>
        <w:t>附加旅行网约车交通意外伤害保险条款（2020版）</w:t>
      </w:r>
    </w:p>
    <w:p>
      <w:pPr>
        <w:spacing w:line="240" w:lineRule="auto"/>
        <w:jc w:val="center"/>
        <w:rPr>
          <w:rFonts w:hint="eastAsia" w:ascii="宋体" w:hAnsi="宋体"/>
          <w:b/>
          <w:kern w:val="0"/>
          <w:sz w:val="20"/>
          <w:szCs w:val="21"/>
        </w:rPr>
      </w:pPr>
      <w:r>
        <w:rPr>
          <w:rFonts w:hint="eastAsia" w:ascii="宋体" w:hAnsi="宋体"/>
          <w:b/>
          <w:kern w:val="0"/>
          <w:sz w:val="20"/>
          <w:szCs w:val="21"/>
        </w:rPr>
        <w:t>(京东安联)(备-普通意外保险)【2020】(附) 510号</w:t>
      </w:r>
    </w:p>
    <w:tbl>
      <w:tblPr>
        <w:tblStyle w:val="2"/>
        <w:tblW w:w="11341" w:type="dxa"/>
        <w:tblInd w:w="-176" w:type="dxa"/>
        <w:tblLayout w:type="autofit"/>
        <w:tblCellMar>
          <w:top w:w="0" w:type="dxa"/>
          <w:left w:w="108" w:type="dxa"/>
          <w:bottom w:w="0" w:type="dxa"/>
          <w:right w:w="108" w:type="dxa"/>
        </w:tblCellMar>
      </w:tblPr>
      <w:tblGrid>
        <w:gridCol w:w="1160"/>
        <w:gridCol w:w="10181"/>
      </w:tblGrid>
      <w:tr>
        <w:tblPrEx>
          <w:tblCellMar>
            <w:top w:w="0" w:type="dxa"/>
            <w:left w:w="108" w:type="dxa"/>
            <w:bottom w:w="0" w:type="dxa"/>
            <w:right w:w="108" w:type="dxa"/>
          </w:tblCellMar>
        </w:tblPrEx>
        <w:tc>
          <w:tcPr>
            <w:tcW w:w="1160" w:type="dxa"/>
            <w:shd w:val="clear" w:color="auto" w:fill="auto"/>
            <w:noWrap w:val="0"/>
            <w:vAlign w:val="top"/>
          </w:tcPr>
          <w:p>
            <w:pPr>
              <w:spacing w:line="240" w:lineRule="auto"/>
              <w:rPr>
                <w:sz w:val="18"/>
                <w:szCs w:val="18"/>
              </w:rPr>
            </w:pPr>
            <w:r>
              <w:rPr>
                <w:rFonts w:hint="eastAsia" w:ascii="仿宋_GB2312" w:hAnsi="宋体" w:eastAsia="仿宋_GB2312"/>
                <w:b/>
                <w:sz w:val="18"/>
                <w:szCs w:val="18"/>
              </w:rPr>
              <w:t>3.责任免除</w:t>
            </w:r>
          </w:p>
        </w:tc>
        <w:tc>
          <w:tcPr>
            <w:tcW w:w="10181" w:type="dxa"/>
            <w:shd w:val="clear" w:color="auto" w:fill="auto"/>
            <w:noWrap w:val="0"/>
            <w:vAlign w:val="top"/>
          </w:tcPr>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因</w:t>
            </w:r>
            <w:r>
              <w:rPr>
                <w:rFonts w:hint="eastAsia" w:ascii="仿宋_GB2312" w:hAnsi="宋体" w:eastAsia="仿宋_GB2312"/>
                <w:b/>
                <w:kern w:val="0"/>
                <w:sz w:val="18"/>
                <w:szCs w:val="18"/>
              </w:rPr>
              <w:t>下列</w:t>
            </w:r>
            <w:r>
              <w:rPr>
                <w:rFonts w:hint="eastAsia" w:ascii="仿宋_GB2312" w:hAnsi="宋体" w:eastAsia="仿宋_GB2312"/>
                <w:b/>
                <w:sz w:val="18"/>
                <w:szCs w:val="18"/>
              </w:rPr>
              <w:t>任一情形</w:t>
            </w:r>
            <w:r>
              <w:rPr>
                <w:rFonts w:hint="eastAsia" w:ascii="仿宋_GB2312" w:hAnsi="宋体" w:eastAsia="仿宋_GB2312"/>
                <w:b/>
                <w:kern w:val="0"/>
                <w:sz w:val="18"/>
                <w:szCs w:val="18"/>
              </w:rPr>
              <w:t>造成被保险人任何损失的，或具备下列任一情形的，</w:t>
            </w:r>
            <w:r>
              <w:rPr>
                <w:rFonts w:hint="eastAsia" w:ascii="仿宋_GB2312" w:hAnsi="宋体" w:eastAsia="仿宋_GB2312"/>
                <w:b/>
                <w:sz w:val="18"/>
                <w:szCs w:val="18"/>
              </w:rPr>
              <w:t>保险人不承担给付保险金的责任：</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投保人、被保险人或受益人的故意行为；</w:t>
            </w:r>
          </w:p>
          <w:p>
            <w:pPr>
              <w:numPr>
                <w:ilvl w:val="0"/>
                <w:numId w:val="3"/>
              </w:numPr>
              <w:spacing w:line="240" w:lineRule="auto"/>
              <w:rPr>
                <w:rFonts w:ascii="仿宋_GB2312" w:hAnsi="宋体" w:eastAsia="仿宋_GB2312"/>
                <w:b/>
                <w:sz w:val="18"/>
                <w:szCs w:val="18"/>
              </w:rPr>
            </w:pPr>
            <w:r>
              <w:rPr>
                <w:rFonts w:hint="eastAsia" w:ascii="仿宋_GB2312" w:hAnsi="宋体" w:eastAsia="仿宋_GB2312"/>
                <w:b/>
                <w:sz w:val="18"/>
                <w:szCs w:val="18"/>
              </w:rPr>
              <w:t>被保险人违反承运人关于安全乘坐的规定；</w:t>
            </w:r>
          </w:p>
          <w:p>
            <w:pPr>
              <w:numPr>
                <w:ilvl w:val="0"/>
                <w:numId w:val="3"/>
              </w:numPr>
              <w:tabs>
                <w:tab w:val="left" w:pos="0"/>
              </w:tabs>
              <w:snapToGrid w:val="0"/>
              <w:spacing w:line="240" w:lineRule="auto"/>
              <w:jc w:val="both"/>
              <w:rPr>
                <w:rFonts w:ascii="仿宋_GB2312" w:hAnsi="宋体" w:eastAsia="仿宋_GB2312"/>
                <w:b/>
                <w:sz w:val="18"/>
                <w:szCs w:val="18"/>
              </w:rPr>
            </w:pPr>
            <w:r>
              <w:rPr>
                <w:rFonts w:hint="eastAsia" w:ascii="仿宋_GB2312" w:hAnsi="宋体" w:eastAsia="仿宋_GB2312"/>
                <w:b/>
                <w:sz w:val="18"/>
                <w:szCs w:val="18"/>
              </w:rPr>
              <w:t>被保险人自致伤害或自杀，但被保险人自杀时为无民事行为能力人的除外；</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因被保险人挑衅或故意行为而导致的打斗、被袭击或被谋杀；</w:t>
            </w:r>
          </w:p>
          <w:p>
            <w:pPr>
              <w:numPr>
                <w:ilvl w:val="0"/>
                <w:numId w:val="3"/>
              </w:numPr>
              <w:spacing w:line="240" w:lineRule="auto"/>
              <w:rPr>
                <w:rFonts w:ascii="仿宋_GB2312" w:hAnsi="宋体" w:eastAsia="仿宋_GB2312"/>
                <w:b/>
                <w:sz w:val="18"/>
                <w:szCs w:val="18"/>
              </w:rPr>
            </w:pPr>
            <w:r>
              <w:rPr>
                <w:rFonts w:hint="eastAsia" w:ascii="仿宋_GB2312" w:hAnsi="宋体" w:eastAsia="仿宋_GB2312"/>
                <w:b/>
                <w:sz w:val="18"/>
                <w:szCs w:val="18"/>
              </w:rPr>
              <w:t>车辆自始发地出发以后，未到达目的地之前，在车辆外部所遭受的意外伤害；</w:t>
            </w:r>
          </w:p>
          <w:p>
            <w:pPr>
              <w:numPr>
                <w:ilvl w:val="0"/>
                <w:numId w:val="3"/>
              </w:numPr>
              <w:spacing w:line="240" w:lineRule="auto"/>
              <w:rPr>
                <w:rFonts w:ascii="仿宋_GB2312" w:hAnsi="宋体" w:eastAsia="仿宋_GB2312"/>
                <w:b/>
                <w:sz w:val="18"/>
                <w:szCs w:val="18"/>
              </w:rPr>
            </w:pPr>
            <w:r>
              <w:rPr>
                <w:rFonts w:hint="eastAsia" w:ascii="仿宋_GB2312" w:hAnsi="宋体" w:eastAsia="仿宋_GB2312"/>
                <w:b/>
                <w:sz w:val="18"/>
                <w:szCs w:val="18"/>
              </w:rPr>
              <w:t>被保险人网约车订单中载明的车辆以外的车辆发生的事故；</w:t>
            </w:r>
          </w:p>
          <w:p>
            <w:pPr>
              <w:numPr>
                <w:ilvl w:val="0"/>
                <w:numId w:val="3"/>
              </w:numPr>
              <w:spacing w:line="240" w:lineRule="auto"/>
              <w:rPr>
                <w:rFonts w:ascii="仿宋_GB2312" w:hAnsi="宋体" w:eastAsia="仿宋_GB2312"/>
                <w:b/>
                <w:sz w:val="18"/>
                <w:szCs w:val="18"/>
              </w:rPr>
            </w:pPr>
            <w:r>
              <w:rPr>
                <w:rFonts w:hint="eastAsia" w:ascii="仿宋_GB2312" w:hAnsi="宋体" w:eastAsia="仿宋_GB2312"/>
                <w:b/>
                <w:sz w:val="18"/>
                <w:szCs w:val="18"/>
              </w:rPr>
              <w:t>被保险人乘坐公共交通工具（见释义9.2）期间遭受的意外伤害；</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被保险人妊娠（含宫外孕）、流产（含任何原因所导致的流产和人工流产）、分娩（含剖腹产）、节育、不孕不育；</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被保险人疾病、食物中毒、药物过敏、中暑、高原反应特定疾病及其并发症、猝死；</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被保险人未遵医嘱，私自服用、涂用、注射药物；</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任何生物、化学、原子能武器，原子能或核能装置所造成的爆炸、灼伤、污染或辐射；</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保单生效前已存在的受伤及其并发症；</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细菌或病毒感染（但因意外伤害致有伤口而发生感染者除外）；</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被保险人任何因整容、整形手术、内外科手术或其他医疗行为导致的伤害;</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战争（无论宣战与否）、军事行动、恐怖活动、暴动或武装叛乱期间；</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被保险人从事违法、犯罪活动期间或被依法拘留、服刑、在逃期间；</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被保险人在受酒精或毒品、管制药物的影响期间；</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被保险人存在精神和行为障碍（以世界卫生组织颁布的《疾病和有关健康问题的国际统计分类（ICD-10）》</w:t>
            </w:r>
          </w:p>
          <w:p>
            <w:pPr>
              <w:tabs>
                <w:tab w:val="left" w:pos="0"/>
              </w:tabs>
              <w:snapToGrid w:val="0"/>
              <w:spacing w:line="240" w:lineRule="auto"/>
              <w:ind w:left="360"/>
              <w:jc w:val="both"/>
              <w:rPr>
                <w:rFonts w:hint="eastAsia" w:ascii="仿宋_GB2312" w:hAnsi="宋体" w:eastAsia="仿宋_GB2312"/>
                <w:b/>
                <w:sz w:val="18"/>
                <w:szCs w:val="18"/>
              </w:rPr>
            </w:pPr>
            <w:r>
              <w:rPr>
                <w:rFonts w:hint="eastAsia" w:ascii="仿宋_GB2312" w:hAnsi="宋体" w:eastAsia="仿宋_GB2312"/>
                <w:b/>
                <w:sz w:val="18"/>
                <w:szCs w:val="18"/>
              </w:rPr>
              <w:t>为准）期间（包括但不限于服药治疗或心理行为治疗期间）；</w:t>
            </w:r>
          </w:p>
          <w:p>
            <w:pPr>
              <w:numPr>
                <w:ilvl w:val="0"/>
                <w:numId w:val="3"/>
              </w:numPr>
              <w:tabs>
                <w:tab w:val="left" w:pos="0"/>
              </w:tabs>
              <w:snapToGrid w:val="0"/>
              <w:spacing w:line="240" w:lineRule="auto"/>
              <w:jc w:val="both"/>
              <w:rPr>
                <w:rFonts w:ascii="仿宋_GB2312" w:hAnsi="宋体" w:eastAsia="仿宋_GB2312"/>
                <w:b/>
                <w:sz w:val="18"/>
                <w:szCs w:val="18"/>
              </w:rPr>
            </w:pPr>
            <w:r>
              <w:rPr>
                <w:rFonts w:hint="eastAsia" w:ascii="仿宋_GB2312" w:hAnsi="宋体" w:eastAsia="仿宋_GB2312"/>
                <w:b/>
                <w:sz w:val="18"/>
                <w:szCs w:val="18"/>
              </w:rPr>
              <w:t>被保险人患艾滋病或感染艾滋病病毒期间发生的意外伤害；</w:t>
            </w:r>
          </w:p>
          <w:p>
            <w:pPr>
              <w:numPr>
                <w:ilvl w:val="0"/>
                <w:numId w:val="3"/>
              </w:numPr>
              <w:tabs>
                <w:tab w:val="left" w:pos="0"/>
              </w:tabs>
              <w:snapToGrid w:val="0"/>
              <w:spacing w:line="240" w:lineRule="auto"/>
              <w:jc w:val="both"/>
              <w:rPr>
                <w:rFonts w:hint="eastAsia" w:ascii="仿宋_GB2312" w:hAnsi="宋体" w:eastAsia="仿宋_GB2312"/>
                <w:b/>
                <w:sz w:val="18"/>
                <w:szCs w:val="18"/>
              </w:rPr>
            </w:pPr>
            <w:r>
              <w:rPr>
                <w:rFonts w:hint="eastAsia" w:ascii="仿宋_GB2312" w:hAnsi="宋体" w:eastAsia="仿宋_GB2312"/>
                <w:b/>
                <w:sz w:val="18"/>
                <w:szCs w:val="18"/>
              </w:rPr>
              <w:t>被保险人乘坐的车辆用于军事、教学、测试、竞赛、特技、表演、探险、货物运输、石油挖掘、采矿、空中摄影、处理爆炸物、森林砍伐、建筑工程、水上作业、高空作业期间；</w:t>
            </w:r>
          </w:p>
          <w:p>
            <w:pPr>
              <w:numPr>
                <w:ilvl w:val="0"/>
                <w:numId w:val="3"/>
              </w:numPr>
              <w:spacing w:line="240" w:lineRule="auto"/>
              <w:rPr>
                <w:rFonts w:ascii="仿宋_GB2312" w:hAnsi="宋体" w:eastAsia="仿宋_GB2312"/>
                <w:b/>
                <w:sz w:val="18"/>
                <w:szCs w:val="18"/>
              </w:rPr>
            </w:pPr>
            <w:r>
              <w:rPr>
                <w:rFonts w:hint="eastAsia" w:ascii="仿宋_GB2312" w:hAnsi="宋体" w:eastAsia="仿宋_GB2312"/>
                <w:b/>
                <w:sz w:val="18"/>
                <w:szCs w:val="18"/>
              </w:rPr>
              <w:t>被保险人作为军人(含特种兵)、警务人员(含防暴警察)在训练或执行公务期间；</w:t>
            </w:r>
          </w:p>
          <w:p>
            <w:pPr>
              <w:numPr>
                <w:ilvl w:val="0"/>
                <w:numId w:val="3"/>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被保险人乘坐从事非法营运的车辆；</w:t>
            </w:r>
          </w:p>
          <w:p>
            <w:pPr>
              <w:numPr>
                <w:ilvl w:val="0"/>
                <w:numId w:val="3"/>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主险条款规定的责任免除事项。</w:t>
            </w:r>
          </w:p>
        </w:tc>
      </w:tr>
    </w:tbl>
    <w:p/>
    <w:p>
      <w:pPr>
        <w:pStyle w:val="4"/>
        <w:spacing w:line="240" w:lineRule="auto"/>
        <w:jc w:val="center"/>
        <w:rPr>
          <w:rFonts w:hint="eastAsia" w:ascii="宋体" w:hAnsi="宋体"/>
        </w:rPr>
      </w:pPr>
      <w:r>
        <w:rPr>
          <w:rFonts w:hint="eastAsia" w:ascii="宋体" w:hAnsi="宋体"/>
          <w:b/>
        </w:rPr>
        <w:t>京东安联财产保险有限公司</w:t>
      </w:r>
    </w:p>
    <w:p>
      <w:pPr>
        <w:spacing w:line="240" w:lineRule="auto"/>
        <w:jc w:val="center"/>
        <w:rPr>
          <w:b/>
          <w:kern w:val="0"/>
          <w:szCs w:val="21"/>
        </w:rPr>
      </w:pPr>
      <w:r>
        <w:rPr>
          <w:b/>
          <w:kern w:val="0"/>
          <w:szCs w:val="21"/>
        </w:rPr>
        <w:t>附加</w:t>
      </w:r>
      <w:r>
        <w:rPr>
          <w:rFonts w:hint="eastAsia"/>
          <w:b/>
          <w:kern w:val="0"/>
          <w:szCs w:val="21"/>
        </w:rPr>
        <w:t>旅行疾病身故</w:t>
      </w:r>
      <w:r>
        <w:rPr>
          <w:b/>
          <w:kern w:val="0"/>
          <w:szCs w:val="21"/>
        </w:rPr>
        <w:t>保险</w:t>
      </w:r>
      <w:r>
        <w:rPr>
          <w:rFonts w:hint="eastAsia"/>
          <w:b/>
          <w:kern w:val="0"/>
          <w:szCs w:val="21"/>
        </w:rPr>
        <w:t>条款（</w:t>
      </w:r>
      <w:r>
        <w:rPr>
          <w:rFonts w:hint="eastAsia" w:ascii="宋体" w:hAnsi="宋体" w:cs="宋体"/>
          <w:b/>
          <w:kern w:val="0"/>
          <w:szCs w:val="21"/>
        </w:rPr>
        <w:t>2020</w:t>
      </w:r>
      <w:r>
        <w:rPr>
          <w:rFonts w:hint="eastAsia"/>
          <w:b/>
          <w:kern w:val="0"/>
          <w:szCs w:val="21"/>
        </w:rPr>
        <w:t>版）</w:t>
      </w:r>
    </w:p>
    <w:p>
      <w:pPr>
        <w:spacing w:line="240" w:lineRule="auto"/>
        <w:jc w:val="center"/>
        <w:rPr>
          <w:rFonts w:hint="eastAsia"/>
          <w:b/>
          <w:kern w:val="0"/>
          <w:szCs w:val="21"/>
        </w:rPr>
      </w:pPr>
      <w:r>
        <w:rPr>
          <w:rFonts w:hint="eastAsia"/>
          <w:b/>
          <w:kern w:val="0"/>
          <w:szCs w:val="21"/>
        </w:rPr>
        <w:t>(京东安联)(备-疾病保险)【2020】(附) 681号</w:t>
      </w:r>
    </w:p>
    <w:tbl>
      <w:tblPr>
        <w:tblStyle w:val="2"/>
        <w:tblW w:w="11341" w:type="dxa"/>
        <w:tblInd w:w="-176" w:type="dxa"/>
        <w:tblLayout w:type="autofit"/>
        <w:tblCellMar>
          <w:top w:w="0" w:type="dxa"/>
          <w:left w:w="108" w:type="dxa"/>
          <w:bottom w:w="0" w:type="dxa"/>
          <w:right w:w="108" w:type="dxa"/>
        </w:tblCellMar>
      </w:tblPr>
      <w:tblGrid>
        <w:gridCol w:w="1172"/>
        <w:gridCol w:w="10169"/>
      </w:tblGrid>
      <w:tr>
        <w:tblPrEx>
          <w:tblCellMar>
            <w:top w:w="0" w:type="dxa"/>
            <w:left w:w="108" w:type="dxa"/>
            <w:bottom w:w="0" w:type="dxa"/>
            <w:right w:w="108" w:type="dxa"/>
          </w:tblCellMar>
        </w:tblPrEx>
        <w:tc>
          <w:tcPr>
            <w:tcW w:w="1172" w:type="dxa"/>
            <w:shd w:val="clear" w:color="auto" w:fill="auto"/>
            <w:noWrap w:val="0"/>
            <w:vAlign w:val="top"/>
          </w:tcPr>
          <w:p>
            <w:pPr>
              <w:spacing w:line="240" w:lineRule="auto"/>
              <w:rPr>
                <w:sz w:val="18"/>
                <w:szCs w:val="18"/>
              </w:rPr>
            </w:pPr>
            <w:r>
              <w:rPr>
                <w:rFonts w:hint="eastAsia" w:ascii="仿宋_GB2312" w:hAnsi="宋体" w:eastAsia="仿宋_GB2312"/>
                <w:b/>
                <w:sz w:val="18"/>
                <w:szCs w:val="18"/>
              </w:rPr>
              <w:t>3.责任免除</w:t>
            </w:r>
          </w:p>
        </w:tc>
        <w:tc>
          <w:tcPr>
            <w:tcW w:w="10169" w:type="dxa"/>
            <w:shd w:val="clear" w:color="auto" w:fill="auto"/>
            <w:noWrap w:val="0"/>
            <w:vAlign w:val="top"/>
          </w:tcPr>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具备任一下列情形时，保险人不承担赔偿责任：</w:t>
            </w:r>
          </w:p>
          <w:p>
            <w:pPr>
              <w:numPr>
                <w:ilvl w:val="0"/>
                <w:numId w:val="4"/>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被保险人因意外伤害身故；</w:t>
            </w:r>
          </w:p>
          <w:p>
            <w:pPr>
              <w:numPr>
                <w:ilvl w:val="0"/>
                <w:numId w:val="4"/>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既往病症（见释义8.1)及其并发症导致身故；</w:t>
            </w:r>
          </w:p>
          <w:p>
            <w:pPr>
              <w:numPr>
                <w:ilvl w:val="0"/>
                <w:numId w:val="4"/>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若被保险人在保单生效前患有心脑血管疾病、高血压或糖尿病中的任一种疾病，则此次旅行中出现的下列任</w:t>
            </w:r>
          </w:p>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一病症所产生的索赔均不属于赔偿范围：</w:t>
            </w:r>
          </w:p>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i.脑溢血（含脑出血）及其并发症；</w:t>
            </w:r>
          </w:p>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ii.心肌梗塞、脑梗塞、肺栓塞、下肢静脉栓塞及其并发症；</w:t>
            </w:r>
          </w:p>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iii.心脏衰竭、呼吸衰竭及其并发症；</w:t>
            </w:r>
          </w:p>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iv.高血压、糖尿病及其并发症；</w:t>
            </w:r>
          </w:p>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v.冠心病或心绞痛（即心肌缺血）及其并发症；</w:t>
            </w:r>
          </w:p>
          <w:p>
            <w:pPr>
              <w:numPr>
                <w:ilvl w:val="0"/>
                <w:numId w:val="4"/>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被保险人妊娠、流产、分娩导致身故；</w:t>
            </w:r>
          </w:p>
          <w:p>
            <w:pPr>
              <w:numPr>
                <w:ilvl w:val="0"/>
                <w:numId w:val="4"/>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被保险人任何因整容、整形手术、内外科手术或其他医疗行为遭受伤害；</w:t>
            </w:r>
          </w:p>
          <w:p>
            <w:pPr>
              <w:numPr>
                <w:ilvl w:val="0"/>
                <w:numId w:val="4"/>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被保险人存在精神和行为障碍（以世界卫生组织颁布的《疾病和有关健康问题的国际统计分类（ICD-10）》</w:t>
            </w:r>
          </w:p>
          <w:p>
            <w:pPr>
              <w:spacing w:line="240" w:lineRule="auto"/>
              <w:ind w:left="420"/>
              <w:rPr>
                <w:rFonts w:hint="eastAsia" w:ascii="仿宋_GB2312" w:hAnsi="宋体" w:eastAsia="仿宋_GB2312"/>
                <w:b/>
                <w:sz w:val="18"/>
                <w:szCs w:val="18"/>
              </w:rPr>
            </w:pPr>
            <w:r>
              <w:rPr>
                <w:rFonts w:hint="eastAsia" w:ascii="仿宋_GB2312" w:hAnsi="宋体" w:eastAsia="仿宋_GB2312"/>
                <w:b/>
                <w:sz w:val="18"/>
                <w:szCs w:val="18"/>
              </w:rPr>
              <w:t>为准）期间遭遇疾病身故;</w:t>
            </w:r>
          </w:p>
          <w:p>
            <w:pPr>
              <w:numPr>
                <w:ilvl w:val="0"/>
                <w:numId w:val="4"/>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主险条款规定的责任免除事项。</w:t>
            </w:r>
          </w:p>
        </w:tc>
      </w:tr>
    </w:tbl>
    <w:p/>
    <w:p>
      <w:pPr>
        <w:pStyle w:val="4"/>
        <w:spacing w:line="240" w:lineRule="auto"/>
        <w:jc w:val="center"/>
        <w:rPr>
          <w:rFonts w:hint="eastAsia" w:ascii="宋体" w:hAnsi="宋体"/>
        </w:rPr>
      </w:pPr>
      <w:r>
        <w:rPr>
          <w:rFonts w:hint="eastAsia" w:ascii="宋体" w:hAnsi="宋体"/>
          <w:b/>
        </w:rPr>
        <w:t>京东安联财产保险有限公司</w:t>
      </w:r>
    </w:p>
    <w:p>
      <w:pPr>
        <w:spacing w:line="240" w:lineRule="auto"/>
        <w:jc w:val="center"/>
        <w:rPr>
          <w:b/>
          <w:kern w:val="0"/>
        </w:rPr>
      </w:pPr>
      <w:r>
        <w:rPr>
          <w:rFonts w:hint="eastAsia" w:ascii="宋体" w:hAnsi="宋体"/>
          <w:b/>
          <w:kern w:val="0"/>
          <w:szCs w:val="21"/>
        </w:rPr>
        <w:t>附加旅行医疗费用保险条款</w:t>
      </w:r>
      <w:r>
        <w:rPr>
          <w:rFonts w:hint="eastAsia"/>
          <w:b/>
          <w:kern w:val="0"/>
        </w:rPr>
        <w:t>（2020版）</w:t>
      </w:r>
    </w:p>
    <w:p>
      <w:pPr>
        <w:spacing w:line="240" w:lineRule="auto"/>
        <w:jc w:val="center"/>
        <w:rPr>
          <w:rFonts w:hint="eastAsia"/>
          <w:b/>
          <w:kern w:val="0"/>
        </w:rPr>
      </w:pPr>
      <w:r>
        <w:rPr>
          <w:rFonts w:hint="eastAsia"/>
          <w:b/>
          <w:kern w:val="0"/>
        </w:rPr>
        <w:t>(京东安联)(备-医疗保险)【2020】(附) 557号</w:t>
      </w:r>
    </w:p>
    <w:tbl>
      <w:tblPr>
        <w:tblStyle w:val="2"/>
        <w:tblW w:w="11341" w:type="dxa"/>
        <w:tblInd w:w="-176" w:type="dxa"/>
        <w:tblLayout w:type="autofit"/>
        <w:tblCellMar>
          <w:top w:w="0" w:type="dxa"/>
          <w:left w:w="108" w:type="dxa"/>
          <w:bottom w:w="0" w:type="dxa"/>
          <w:right w:w="108" w:type="dxa"/>
        </w:tblCellMar>
      </w:tblPr>
      <w:tblGrid>
        <w:gridCol w:w="1172"/>
        <w:gridCol w:w="10169"/>
      </w:tblGrid>
      <w:tr>
        <w:tblPrEx>
          <w:tblCellMar>
            <w:top w:w="0" w:type="dxa"/>
            <w:left w:w="108" w:type="dxa"/>
            <w:bottom w:w="0" w:type="dxa"/>
            <w:right w:w="108" w:type="dxa"/>
          </w:tblCellMar>
        </w:tblPrEx>
        <w:tc>
          <w:tcPr>
            <w:tcW w:w="1172" w:type="dxa"/>
            <w:shd w:val="clear" w:color="auto" w:fill="auto"/>
            <w:noWrap w:val="0"/>
            <w:vAlign w:val="top"/>
          </w:tcPr>
          <w:p>
            <w:pPr>
              <w:spacing w:line="240" w:lineRule="auto"/>
              <w:rPr>
                <w:sz w:val="18"/>
                <w:szCs w:val="18"/>
              </w:rPr>
            </w:pPr>
            <w:r>
              <w:rPr>
                <w:rFonts w:hint="eastAsia" w:ascii="仿宋_GB2312" w:hAnsi="宋体" w:eastAsia="仿宋_GB2312"/>
                <w:b/>
                <w:sz w:val="18"/>
                <w:szCs w:val="18"/>
              </w:rPr>
              <w:t>3.责任免除</w:t>
            </w:r>
          </w:p>
        </w:tc>
        <w:tc>
          <w:tcPr>
            <w:tcW w:w="10169" w:type="dxa"/>
            <w:shd w:val="clear" w:color="auto" w:fill="auto"/>
            <w:noWrap w:val="0"/>
            <w:vAlign w:val="top"/>
          </w:tcPr>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主保险合同中责任免除条款第（1）项至第（25）项均适用于本附加合同，若主保险合同中责任免除条款与本附加条款有相抵触之处，则应以本附加条款为准。</w:t>
            </w:r>
          </w:p>
          <w:p>
            <w:pPr>
              <w:snapToGrid w:val="0"/>
              <w:spacing w:line="240" w:lineRule="auto"/>
              <w:rPr>
                <w:rFonts w:hint="eastAsia" w:ascii="仿宋_GB2312" w:hAnsi="宋体" w:eastAsia="仿宋_GB2312"/>
                <w:b/>
                <w:sz w:val="18"/>
                <w:szCs w:val="18"/>
              </w:rPr>
            </w:pPr>
          </w:p>
          <w:p>
            <w:pPr>
              <w:snapToGrid w:val="0"/>
              <w:spacing w:after="240" w:line="240" w:lineRule="auto"/>
              <w:rPr>
                <w:rFonts w:hint="eastAsia" w:ascii="仿宋_GB2312" w:hAnsi="宋体" w:eastAsia="仿宋_GB2312"/>
                <w:b/>
                <w:sz w:val="18"/>
                <w:szCs w:val="18"/>
              </w:rPr>
            </w:pPr>
            <w:r>
              <w:rPr>
                <w:rFonts w:hint="eastAsia" w:ascii="仿宋_GB2312" w:hAnsi="宋体" w:eastAsia="仿宋_GB2312"/>
                <w:b/>
                <w:sz w:val="18"/>
                <w:szCs w:val="18"/>
              </w:rPr>
              <w:t>任何因下列情形之一导致被保险人支出医疗费用的，或具备下列情形/行为之一的，保险人不承担赔偿责任：</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1）任何被保险人已从公费医疗、社会基本医疗保险、所有商业性费用补偿型医疗保险、其他政府机构或社会福利</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机构等已获得补偿的医药费用；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 xml:space="preserve">2）接种疫苗、安胎及分娩（含剖腹产）、流产（含任何原因所导致的流产和人工流产）、不孕不育、妊娠（含宫外孕）、避孕或绝育手术等所产生的费用； </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3）脊椎病、疝气、药物过敏；</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4）扁桃腺手术、腺样体手术、女性生殖器官疾病手术；</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5）护理（陪住）费、伙食费、误工费及装配假眼、假牙、假肢、用于矫形、整容、安装残疾用具、聘用特别看护或私家看护的费用；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6）任何因整容、整形手术、内外科手术或其他医疗行为导致的伤害所产生的医疗费用；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7）健康护理(含体检、健康体检、疗养、特别护理、康复性治疗、物理治疗、心理治疗或静养)等非治疗性的行为及无客观病征证明其不健康及以捐献身体器官或组织为目的的医疗行为所产生的费用；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8）移植人工器官或组织；</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9）洗牙、洁齿、牙齿镶补、牙齿修复、植种或牙齿整形所产生的费用；对非自然牙进行的任何治疗；</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10）先天性疾病（见释义10.2）和症状、遗传性疾病、先天性畸形或缺陷的治疗和康复所产生的费用；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11）</w:t>
            </w:r>
            <w:bookmarkStart w:id="0" w:name="OLE_LINK1"/>
            <w:r>
              <w:rPr>
                <w:rFonts w:hint="eastAsia" w:ascii="仿宋_GB2312" w:hAnsi="宋体" w:eastAsia="仿宋_GB2312"/>
                <w:b/>
                <w:sz w:val="18"/>
                <w:szCs w:val="18"/>
              </w:rPr>
              <w:t>精神病、精神分裂症、心理疾病、性病等的治疗和康复所产生的费用；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12）既往病症（见释义10.3）及其并发症</w:t>
            </w:r>
            <w:bookmarkEnd w:id="0"/>
            <w:r>
              <w:rPr>
                <w:rFonts w:hint="eastAsia" w:ascii="仿宋_GB2312" w:hAnsi="宋体" w:eastAsia="仿宋_GB2312"/>
                <w:b/>
                <w:sz w:val="18"/>
                <w:szCs w:val="18"/>
              </w:rPr>
              <w:t>；</w:t>
            </w:r>
          </w:p>
          <w:p>
            <w:pPr>
              <w:spacing w:line="240" w:lineRule="auto"/>
              <w:ind w:left="316" w:hanging="316" w:hangingChars="175"/>
              <w:rPr>
                <w:rFonts w:hint="eastAsia" w:ascii="仿宋_GB2312" w:hAnsi="宋体" w:eastAsia="仿宋_GB2312"/>
                <w:b/>
                <w:sz w:val="18"/>
                <w:szCs w:val="18"/>
              </w:rPr>
            </w:pPr>
            <w:r>
              <w:rPr>
                <w:rFonts w:hint="eastAsia" w:ascii="仿宋_GB2312" w:hAnsi="宋体" w:eastAsia="仿宋_GB2312"/>
                <w:b/>
                <w:sz w:val="18"/>
                <w:szCs w:val="18"/>
              </w:rPr>
              <w:t>13）若被保险人在保单生效前患有心脑血管疾病、高血压或糖尿病中的任一种疾病，则此次旅行中出现的下列任一病症所产生的费用均不属于赔偿范围：</w:t>
            </w:r>
          </w:p>
          <w:p>
            <w:pPr>
              <w:spacing w:line="240" w:lineRule="auto"/>
              <w:ind w:left="315" w:leftChars="150" w:firstLine="1"/>
              <w:rPr>
                <w:rFonts w:hint="eastAsia" w:ascii="仿宋_GB2312" w:hAnsi="宋体" w:eastAsia="仿宋_GB2312"/>
                <w:b/>
                <w:sz w:val="18"/>
                <w:szCs w:val="18"/>
              </w:rPr>
            </w:pPr>
            <w:r>
              <w:rPr>
                <w:rFonts w:hint="eastAsia" w:ascii="仿宋_GB2312" w:hAnsi="宋体" w:eastAsia="仿宋_GB2312"/>
                <w:b/>
                <w:sz w:val="18"/>
                <w:szCs w:val="18"/>
              </w:rPr>
              <w:t>i.脑溢血（含脑出血）及其并发症；</w:t>
            </w:r>
          </w:p>
          <w:p>
            <w:pPr>
              <w:spacing w:line="240" w:lineRule="auto"/>
              <w:ind w:left="315" w:leftChars="150" w:firstLine="1"/>
              <w:rPr>
                <w:rFonts w:hint="eastAsia" w:ascii="仿宋_GB2312" w:hAnsi="宋体" w:eastAsia="仿宋_GB2312"/>
                <w:b/>
                <w:sz w:val="18"/>
                <w:szCs w:val="18"/>
              </w:rPr>
            </w:pPr>
            <w:r>
              <w:rPr>
                <w:rFonts w:hint="eastAsia" w:ascii="仿宋_GB2312" w:hAnsi="宋体" w:eastAsia="仿宋_GB2312"/>
                <w:b/>
                <w:sz w:val="18"/>
                <w:szCs w:val="18"/>
              </w:rPr>
              <w:t>ii.心肌梗塞、脑梗塞、肺栓塞、下肢静脉栓塞及其并发症；</w:t>
            </w:r>
          </w:p>
          <w:p>
            <w:pPr>
              <w:spacing w:line="240" w:lineRule="auto"/>
              <w:ind w:left="315" w:leftChars="150" w:firstLine="1"/>
              <w:rPr>
                <w:rFonts w:hint="eastAsia" w:ascii="仿宋_GB2312" w:hAnsi="宋体" w:eastAsia="仿宋_GB2312"/>
                <w:b/>
                <w:sz w:val="18"/>
                <w:szCs w:val="18"/>
              </w:rPr>
            </w:pPr>
            <w:r>
              <w:rPr>
                <w:rFonts w:hint="eastAsia" w:ascii="仿宋_GB2312" w:hAnsi="宋体" w:eastAsia="仿宋_GB2312"/>
                <w:b/>
                <w:sz w:val="18"/>
                <w:szCs w:val="18"/>
              </w:rPr>
              <w:t>iii.心脏衰竭、呼吸衰竭及其并发症；</w:t>
            </w:r>
          </w:p>
          <w:p>
            <w:pPr>
              <w:spacing w:line="240" w:lineRule="auto"/>
              <w:ind w:left="315" w:leftChars="150" w:firstLine="1"/>
              <w:rPr>
                <w:rFonts w:hint="eastAsia" w:ascii="仿宋_GB2312" w:hAnsi="宋体" w:eastAsia="仿宋_GB2312"/>
                <w:b/>
                <w:sz w:val="18"/>
                <w:szCs w:val="18"/>
              </w:rPr>
            </w:pPr>
            <w:r>
              <w:rPr>
                <w:rFonts w:hint="eastAsia" w:ascii="仿宋_GB2312" w:hAnsi="宋体" w:eastAsia="仿宋_GB2312"/>
                <w:b/>
                <w:sz w:val="18"/>
                <w:szCs w:val="18"/>
              </w:rPr>
              <w:t>iv.高血压、糖尿病及其并发症；</w:t>
            </w:r>
          </w:p>
          <w:p>
            <w:pPr>
              <w:spacing w:line="240" w:lineRule="auto"/>
              <w:ind w:left="315" w:leftChars="150" w:firstLine="1"/>
              <w:rPr>
                <w:rFonts w:hint="eastAsia" w:ascii="仿宋_GB2312" w:hAnsi="宋体" w:eastAsia="仿宋_GB2312"/>
                <w:b/>
                <w:sz w:val="18"/>
                <w:szCs w:val="18"/>
              </w:rPr>
            </w:pPr>
            <w:r>
              <w:rPr>
                <w:rFonts w:hint="eastAsia" w:ascii="仿宋_GB2312" w:hAnsi="宋体" w:eastAsia="仿宋_GB2312"/>
                <w:b/>
                <w:sz w:val="18"/>
                <w:szCs w:val="18"/>
              </w:rPr>
              <w:t>v.冠心病或心绞痛（即心肌缺血）及其并发症；</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14）根据被保险人的主治医生或救援机构的意见，可以被合理延迟至被保险人返回其原出发地（见释义10.4）后进行，而被保险人坚持在当地进行治疗或手术所产生的费用；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15）任何因当地急救组织或第三方提供服务而被保险人不需负责给付的费用或任何已包含在旅行收费中的费用；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16）无当地医院出具原始发票或收据及医疗证明的费用；</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17）被保险人在境外遭受意外伤害事故或罹患疾病，但未在当地经过医生诊治，而在回原出发地后进行的任何</w:t>
            </w:r>
          </w:p>
          <w:p>
            <w:pPr>
              <w:snapToGrid w:val="0"/>
              <w:spacing w:line="276" w:lineRule="auto"/>
              <w:ind w:left="458" w:leftChars="218"/>
              <w:rPr>
                <w:rFonts w:hint="eastAsia" w:ascii="仿宋_GB2312" w:hAnsi="宋体" w:eastAsia="仿宋_GB2312"/>
                <w:b/>
                <w:sz w:val="18"/>
                <w:szCs w:val="18"/>
              </w:rPr>
            </w:pPr>
            <w:r>
              <w:rPr>
                <w:rFonts w:hint="eastAsia" w:ascii="仿宋_GB2312" w:hAnsi="宋体" w:eastAsia="仿宋_GB2312"/>
                <w:b/>
                <w:sz w:val="18"/>
                <w:szCs w:val="18"/>
              </w:rPr>
              <w:t>门急诊及住院治疗所发生的费用，除非已经过保险人的认可与同意；</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18）被保险人遭受意外伤害事故或罹患疾病，经过当地医生诊治，但在回原出发地后进行的与本次意外伤害事故</w:t>
            </w:r>
          </w:p>
          <w:p>
            <w:pPr>
              <w:snapToGrid w:val="0"/>
              <w:spacing w:line="276" w:lineRule="auto"/>
              <w:ind w:firstLine="361" w:firstLineChars="200"/>
              <w:rPr>
                <w:rFonts w:hint="eastAsia" w:ascii="仿宋_GB2312" w:hAnsi="宋体" w:eastAsia="仿宋_GB2312"/>
                <w:b/>
                <w:sz w:val="18"/>
                <w:szCs w:val="18"/>
              </w:rPr>
            </w:pPr>
            <w:r>
              <w:rPr>
                <w:rFonts w:hint="eastAsia" w:ascii="仿宋_GB2312" w:hAnsi="宋体" w:eastAsia="仿宋_GB2312"/>
                <w:b/>
                <w:sz w:val="18"/>
                <w:szCs w:val="18"/>
              </w:rPr>
              <w:t>或疾病没有直接关系的门急诊及住院治疗所发生的费用；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19）被保险人患艾滋病（AIDS）或感染艾滋病病毒（HIV阳性）所发生的费用；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20）受酒精、毒品、管制药物影响或滥用、误用药物所引起的医疗费用；</w:t>
            </w:r>
          </w:p>
          <w:p>
            <w:pPr>
              <w:snapToGrid w:val="0"/>
              <w:spacing w:line="276" w:lineRule="auto"/>
              <w:rPr>
                <w:rFonts w:hint="eastAsia" w:ascii="仿宋_GB2312" w:hAnsi="宋体" w:eastAsia="仿宋_GB2312"/>
                <w:b/>
                <w:sz w:val="18"/>
                <w:szCs w:val="18"/>
              </w:rPr>
            </w:pPr>
            <w:r>
              <w:rPr>
                <w:rFonts w:hint="eastAsia" w:ascii="仿宋_GB2312" w:hAnsi="宋体" w:eastAsia="仿宋_GB2312"/>
                <w:b/>
                <w:sz w:val="18"/>
                <w:szCs w:val="18"/>
              </w:rPr>
              <w:t>21）被保险人旅行的目的是为了进行治疗或该旅行违背医嘱所发生的医疗费用；</w:t>
            </w:r>
          </w:p>
          <w:p>
            <w:pPr>
              <w:snapToGrid w:val="0"/>
              <w:spacing w:line="240" w:lineRule="auto"/>
              <w:ind w:left="316" w:hanging="316" w:hangingChars="175"/>
              <w:rPr>
                <w:rFonts w:hint="eastAsia" w:ascii="仿宋_GB2312" w:hAnsi="宋体" w:eastAsia="仿宋_GB2312"/>
                <w:b/>
                <w:sz w:val="18"/>
                <w:szCs w:val="18"/>
              </w:rPr>
            </w:pPr>
            <w:r>
              <w:rPr>
                <w:rFonts w:hint="eastAsia" w:ascii="仿宋_GB2312" w:hAnsi="宋体" w:eastAsia="仿宋_GB2312"/>
                <w:b/>
                <w:sz w:val="18"/>
                <w:szCs w:val="18"/>
              </w:rPr>
              <w:t>22）在境外进行的如下治疗：中草药、中药材或传统中医治疗，传统中医治疗包括但不限于脊椎指压治疗、足科治疗、营养师治疗、理疗、针灸、顺势治疗、整骨治疗。</w:t>
            </w:r>
          </w:p>
          <w:p>
            <w:pPr>
              <w:snapToGrid w:val="0"/>
              <w:spacing w:line="240" w:lineRule="auto"/>
              <w:rPr>
                <w:rFonts w:hint="eastAsia" w:ascii="仿宋_GB2312" w:hAnsi="宋体" w:eastAsia="仿宋_GB2312"/>
                <w:b/>
                <w:sz w:val="18"/>
                <w:szCs w:val="18"/>
              </w:rPr>
            </w:pPr>
          </w:p>
        </w:tc>
      </w:tr>
    </w:tbl>
    <w:p/>
    <w:p/>
    <w:p>
      <w:pPr>
        <w:pStyle w:val="4"/>
        <w:spacing w:line="240" w:lineRule="auto"/>
        <w:jc w:val="center"/>
        <w:rPr>
          <w:rFonts w:hint="eastAsia" w:ascii="宋体" w:hAnsi="宋体"/>
        </w:rPr>
      </w:pPr>
      <w:r>
        <w:rPr>
          <w:rFonts w:hint="eastAsia" w:ascii="宋体" w:hAnsi="宋体"/>
          <w:b/>
        </w:rPr>
        <w:t>京东安联财产保险有限公司</w:t>
      </w:r>
    </w:p>
    <w:p>
      <w:pPr>
        <w:spacing w:line="240" w:lineRule="auto"/>
        <w:jc w:val="center"/>
        <w:rPr>
          <w:rFonts w:ascii="宋体" w:hAnsi="宋体"/>
          <w:b/>
          <w:kern w:val="0"/>
          <w:szCs w:val="21"/>
        </w:rPr>
      </w:pPr>
      <w:r>
        <w:rPr>
          <w:rFonts w:hint="eastAsia" w:ascii="宋体" w:hAnsi="宋体"/>
          <w:b/>
          <w:kern w:val="0"/>
          <w:szCs w:val="21"/>
        </w:rPr>
        <w:t>附加旅行意外每日住院津贴保险条款（2020版）</w:t>
      </w:r>
    </w:p>
    <w:p>
      <w:pPr>
        <w:spacing w:line="240" w:lineRule="auto"/>
        <w:jc w:val="center"/>
        <w:rPr>
          <w:rFonts w:hint="eastAsia" w:ascii="宋体" w:hAnsi="宋体"/>
          <w:b/>
          <w:kern w:val="0"/>
          <w:szCs w:val="21"/>
        </w:rPr>
      </w:pPr>
      <w:r>
        <w:rPr>
          <w:rFonts w:hint="eastAsia" w:ascii="宋体" w:hAnsi="宋体"/>
          <w:b/>
          <w:kern w:val="0"/>
          <w:szCs w:val="21"/>
        </w:rPr>
        <w:t>(京东安联)(备-普通意外保险)【2020】(附) 609号</w:t>
      </w:r>
    </w:p>
    <w:tbl>
      <w:tblPr>
        <w:tblStyle w:val="2"/>
        <w:tblW w:w="11341" w:type="dxa"/>
        <w:tblInd w:w="-176" w:type="dxa"/>
        <w:tblLayout w:type="autofit"/>
        <w:tblCellMar>
          <w:top w:w="0" w:type="dxa"/>
          <w:left w:w="108" w:type="dxa"/>
          <w:bottom w:w="0" w:type="dxa"/>
          <w:right w:w="108" w:type="dxa"/>
        </w:tblCellMar>
      </w:tblPr>
      <w:tblGrid>
        <w:gridCol w:w="1183"/>
        <w:gridCol w:w="10158"/>
      </w:tblGrid>
      <w:tr>
        <w:tblPrEx>
          <w:tblCellMar>
            <w:top w:w="0" w:type="dxa"/>
            <w:left w:w="108" w:type="dxa"/>
            <w:bottom w:w="0" w:type="dxa"/>
            <w:right w:w="108" w:type="dxa"/>
          </w:tblCellMar>
        </w:tblPrEx>
        <w:tc>
          <w:tcPr>
            <w:tcW w:w="1183" w:type="dxa"/>
            <w:shd w:val="clear" w:color="auto" w:fill="auto"/>
            <w:noWrap w:val="0"/>
            <w:vAlign w:val="top"/>
          </w:tcPr>
          <w:p>
            <w:pPr>
              <w:spacing w:line="240" w:lineRule="auto"/>
              <w:rPr>
                <w:sz w:val="18"/>
                <w:szCs w:val="18"/>
              </w:rPr>
            </w:pPr>
            <w:r>
              <w:rPr>
                <w:rFonts w:hint="eastAsia" w:ascii="仿宋_GB2312" w:hAnsi="宋体" w:eastAsia="仿宋_GB2312"/>
                <w:b/>
                <w:sz w:val="18"/>
                <w:szCs w:val="18"/>
              </w:rPr>
              <w:t>3.责任免除</w:t>
            </w:r>
          </w:p>
        </w:tc>
        <w:tc>
          <w:tcPr>
            <w:tcW w:w="10158" w:type="dxa"/>
            <w:shd w:val="clear" w:color="auto" w:fill="auto"/>
            <w:noWrap w:val="0"/>
            <w:vAlign w:val="top"/>
          </w:tcPr>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因下列情形之一，直接或间接导致被保险人住院的，或具备任一下列情形的，保险人不支付住院津贴：</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投保人故意造成被保险人的死亡、伤残或疾病的;</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被保险人故意自伤；</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被保险人酗酒、故意犯罪、抗拒依法采取的刑事强制措施或精神错乱、失常;</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被保险人主动吸食或注射毒品或未遵医嘱使用管制药品；</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被保险人酒后驾驶，无合法有效驾驶证驾驶，或驾驶无有效行驶证的机动车；</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任何疾病及其并发症</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因被保险人安胎及分娩（包括剖腹产、流产及引产）、妊娠、不孕不育发生的治疗；</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因避孕或绝育手术发生的治疗；</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因脊椎病的治疗；</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被保险人美容、整形、矫形术、非必须紧急性治疗的手术、心理咨询及和角膜屈光成形手术；</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被保险人健康护理(含体检、健康体检、疗养、特别护理、康复性治疗、物理治疗、心理治疗或静养)等非治疗性的行为及无客观病征证明其不健康及以捐献身体器官为目的的医疗行为；</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被保险人移植人工器官；</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被保险人非意外伤害导致的洗牙、洁齿、验光、牙齿治疗或手术及镶补；</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被保险人先天性疾病（见释义9.4）和症状、遗传性疾病、先天性畸形或缺陷的治疗和康复；</w:t>
            </w:r>
          </w:p>
          <w:p>
            <w:pPr>
              <w:numPr>
                <w:ilvl w:val="0"/>
                <w:numId w:val="5"/>
              </w:numPr>
              <w:snapToGrid w:val="0"/>
              <w:spacing w:line="240" w:lineRule="auto"/>
              <w:rPr>
                <w:rFonts w:hint="eastAsia" w:ascii="仿宋_GB2312" w:hAnsi="宋体" w:eastAsia="仿宋_GB2312"/>
                <w:b/>
                <w:sz w:val="18"/>
                <w:szCs w:val="18"/>
              </w:rPr>
            </w:pPr>
            <w:bookmarkStart w:id="1" w:name="OLE_LINK2"/>
            <w:r>
              <w:rPr>
                <w:rFonts w:hint="eastAsia" w:ascii="仿宋_GB2312" w:hAnsi="宋体" w:eastAsia="仿宋_GB2312"/>
                <w:b/>
                <w:sz w:val="18"/>
                <w:szCs w:val="18"/>
              </w:rPr>
              <w:t>被保险人的既往病症（见释义9.5）及其并发症；</w:t>
            </w:r>
            <w:bookmarkEnd w:id="1"/>
            <w:r>
              <w:rPr>
                <w:rFonts w:hint="eastAsia" w:ascii="仿宋_GB2312" w:hAnsi="宋体" w:eastAsia="仿宋_GB2312"/>
                <w:b/>
                <w:sz w:val="18"/>
                <w:szCs w:val="18"/>
              </w:rPr>
              <w:t>精神病、精神分裂症、心理疾病、性病等的治疗和康复；</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入住门诊观察室、家庭病床、挂床住院（见释义9.6）及不合理的住院；</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根据被保险人的主治医生或救援机构的意见，可以被合理延迟至被保险人返回其原出发地（见释义9.7）后进行，而被保险人坚持在当地进行治疗或手术；</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任何因当地急救组织或第三方提供服务而被保险人不需负责给付的费用或任何已包含在旅行收费中的费用；</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到达医院前，任何被保险人未经保险人同意擅自使用或自助选择救助服务所发生的费用；</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被保险人未遵医嘱，私自服用、涂用、注射处方药物；</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被保险人从事潜水、跳伞、攀岩运动、探险活动、武术比赛、摔跤比赛、特技表演 、赛马、赛车等高风运动所致；</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无当地医院出具原始发票或收据及医疗证明；</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被保险人在境外遭受意外伤害事故，但未在当地经过医生诊治，而在回原出发地后进行的住院治疗；</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被保险人遭受意外伤害事故，经过当地医生诊治，但在回原出发地后进行的与本次意外伤害事故没有直接关系的住院治疗；</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被保险人罹患艾滋病（AIDS）或感染艾滋病病毒（HIV）期间（上述定义，应按世界卫生组织所订的定义为准。若在被保险人的血液样本中发现上述病毒或其抗体，则认定病人已受该病毒感染）；</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受酒精、毒品、管制药物影响或滥用、误用药物所引起的治疗；</w:t>
            </w:r>
          </w:p>
          <w:p>
            <w:pPr>
              <w:numPr>
                <w:ilvl w:val="0"/>
                <w:numId w:val="5"/>
              </w:num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被保险人旅行的目的是为了进行治疗或该旅行违背医嘱。</w:t>
            </w:r>
          </w:p>
          <w:p>
            <w:pPr>
              <w:numPr>
                <w:ilvl w:val="0"/>
                <w:numId w:val="5"/>
              </w:numPr>
              <w:spacing w:line="240" w:lineRule="auto"/>
              <w:rPr>
                <w:rFonts w:hint="eastAsia" w:ascii="仿宋_GB2312" w:hAnsi="宋体" w:eastAsia="仿宋_GB2312"/>
                <w:b/>
                <w:sz w:val="18"/>
                <w:szCs w:val="18"/>
              </w:rPr>
            </w:pPr>
            <w:r>
              <w:rPr>
                <w:rFonts w:hint="eastAsia" w:ascii="仿宋_GB2312" w:hAnsi="宋体" w:eastAsia="仿宋_GB2312"/>
                <w:b/>
                <w:sz w:val="18"/>
                <w:szCs w:val="18"/>
              </w:rPr>
              <w:t>主险条款规定的责任免除事项。</w:t>
            </w:r>
          </w:p>
        </w:tc>
      </w:tr>
    </w:tbl>
    <w:p/>
    <w:p/>
    <w:p>
      <w:pPr>
        <w:pStyle w:val="4"/>
        <w:spacing w:line="240" w:lineRule="auto"/>
        <w:jc w:val="center"/>
        <w:rPr>
          <w:rFonts w:hint="eastAsia" w:ascii="宋体" w:hAnsi="宋体"/>
        </w:rPr>
      </w:pPr>
      <w:r>
        <w:rPr>
          <w:rFonts w:hint="eastAsia" w:ascii="宋体" w:hAnsi="宋体"/>
          <w:b/>
        </w:rPr>
        <w:t>京东安联财产保险有限公司</w:t>
      </w:r>
    </w:p>
    <w:p>
      <w:pPr>
        <w:spacing w:line="240" w:lineRule="auto"/>
        <w:jc w:val="center"/>
        <w:rPr>
          <w:rFonts w:ascii="宋体" w:hAnsi="宋体"/>
          <w:b/>
          <w:kern w:val="0"/>
          <w:szCs w:val="21"/>
        </w:rPr>
      </w:pPr>
      <w:r>
        <w:rPr>
          <w:rFonts w:hint="eastAsia" w:ascii="宋体" w:hAnsi="宋体"/>
          <w:b/>
          <w:kern w:val="0"/>
          <w:szCs w:val="21"/>
        </w:rPr>
        <w:t>附加旅行紧急医疗运送和送返保险条款（2019版）</w:t>
      </w:r>
    </w:p>
    <w:p>
      <w:pPr>
        <w:spacing w:line="240" w:lineRule="auto"/>
        <w:jc w:val="center"/>
        <w:rPr>
          <w:rFonts w:hint="eastAsia" w:ascii="宋体" w:hAnsi="宋体"/>
          <w:b/>
          <w:kern w:val="0"/>
          <w:sz w:val="20"/>
          <w:szCs w:val="21"/>
        </w:rPr>
      </w:pPr>
      <w:r>
        <w:rPr>
          <w:rFonts w:hint="eastAsia" w:ascii="宋体" w:hAnsi="宋体"/>
          <w:b/>
          <w:kern w:val="0"/>
          <w:sz w:val="20"/>
          <w:szCs w:val="21"/>
        </w:rPr>
        <w:t>(京东安联)(备-普通意外保险)【2020】(附) 337号</w:t>
      </w:r>
    </w:p>
    <w:tbl>
      <w:tblPr>
        <w:tblStyle w:val="2"/>
        <w:tblW w:w="11341" w:type="dxa"/>
        <w:tblInd w:w="-176" w:type="dxa"/>
        <w:tblLayout w:type="autofit"/>
        <w:tblCellMar>
          <w:top w:w="0" w:type="dxa"/>
          <w:left w:w="108" w:type="dxa"/>
          <w:bottom w:w="0" w:type="dxa"/>
          <w:right w:w="108" w:type="dxa"/>
        </w:tblCellMar>
      </w:tblPr>
      <w:tblGrid>
        <w:gridCol w:w="1183"/>
        <w:gridCol w:w="10158"/>
      </w:tblGrid>
      <w:tr>
        <w:tblPrEx>
          <w:tblCellMar>
            <w:top w:w="0" w:type="dxa"/>
            <w:left w:w="108" w:type="dxa"/>
            <w:bottom w:w="0" w:type="dxa"/>
            <w:right w:w="108" w:type="dxa"/>
          </w:tblCellMar>
        </w:tblPrEx>
        <w:tc>
          <w:tcPr>
            <w:tcW w:w="1183" w:type="dxa"/>
            <w:shd w:val="clear" w:color="auto" w:fill="auto"/>
            <w:noWrap w:val="0"/>
            <w:vAlign w:val="top"/>
          </w:tcPr>
          <w:p>
            <w:pPr>
              <w:spacing w:line="240" w:lineRule="auto"/>
              <w:rPr>
                <w:sz w:val="18"/>
                <w:szCs w:val="18"/>
              </w:rPr>
            </w:pPr>
            <w:r>
              <w:rPr>
                <w:rFonts w:hint="eastAsia" w:ascii="仿宋_GB2312" w:hAnsi="宋体" w:eastAsia="仿宋_GB2312"/>
                <w:b/>
                <w:sz w:val="18"/>
                <w:szCs w:val="18"/>
              </w:rPr>
              <w:t>3.责任免除</w:t>
            </w:r>
          </w:p>
        </w:tc>
        <w:tc>
          <w:tcPr>
            <w:tcW w:w="10158" w:type="dxa"/>
            <w:shd w:val="clear" w:color="auto" w:fill="auto"/>
            <w:noWrap w:val="0"/>
            <w:vAlign w:val="top"/>
          </w:tcPr>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主合同《旅行人身意外伤害保险条款》中责任免除条款第（1）项至第（25）项均适用于本附加合同，若主合同中责任免除条款与本附加条款有相抵触之处，则应以本附加条款为准。</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因下列情形之一，直接或间接导致被保险人需要医疗运送及送返的，或具备任一下列情形的，保险人不承担赔偿责任：</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1）被保险人康复性治疗、物理治疗、安胎及分娩（包括剖腹产、流产及引产）、 不孕不育、妊娠、避孕及绝育手术； </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2）被保险人任何因整容、整形手术、内外科手术或其他医疗行为导致的伤害;</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3）被保险人健康护理(含体检、健康体检、疗养、特别护理或静养)等非治疗性的行为及无客观病征证明其不健康</w:t>
            </w:r>
          </w:p>
          <w:p>
            <w:pPr>
              <w:snapToGrid w:val="0"/>
              <w:spacing w:line="240" w:lineRule="auto"/>
              <w:ind w:firstLine="271" w:firstLineChars="150"/>
              <w:rPr>
                <w:rFonts w:hint="eastAsia" w:ascii="仿宋_GB2312" w:hAnsi="宋体" w:eastAsia="仿宋_GB2312"/>
                <w:b/>
                <w:sz w:val="18"/>
                <w:szCs w:val="18"/>
              </w:rPr>
            </w:pPr>
            <w:r>
              <w:rPr>
                <w:rFonts w:hint="eastAsia" w:ascii="仿宋_GB2312" w:hAnsi="宋体" w:eastAsia="仿宋_GB2312"/>
                <w:b/>
                <w:sz w:val="18"/>
                <w:szCs w:val="18"/>
              </w:rPr>
              <w:t>及以捐献身体器官或接受器官移植为目的的医疗行为；</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4）洗牙、洁齿、验光、牙齿治疗或手术及镶补，但因意外伤害引起的一般牙齿治疗或手术除外；</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5）被保险人先天性疾病和症状、遗传性疾病、先天性畸形或缺陷的治疗和康复；</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6）被保险人的既往病症（见释义）及其并发症；</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7）被保险人保单生效前患有心脑血管疾病、高血压或糖尿病，且在此次旅行开始后因心脑血管疾病、高血压</w:t>
            </w:r>
          </w:p>
          <w:p>
            <w:pPr>
              <w:snapToGrid w:val="0"/>
              <w:spacing w:line="240" w:lineRule="auto"/>
              <w:ind w:left="315" w:leftChars="150"/>
              <w:rPr>
                <w:rFonts w:hint="eastAsia" w:ascii="仿宋_GB2312" w:hAnsi="宋体" w:eastAsia="仿宋_GB2312"/>
                <w:b/>
                <w:sz w:val="18"/>
                <w:szCs w:val="18"/>
              </w:rPr>
            </w:pPr>
            <w:r>
              <w:rPr>
                <w:rFonts w:hint="eastAsia" w:ascii="仿宋_GB2312" w:hAnsi="宋体" w:eastAsia="仿宋_GB2312"/>
                <w:b/>
                <w:sz w:val="18"/>
                <w:szCs w:val="18"/>
              </w:rPr>
              <w:t>或糖尿病或前述疾病并发症申请索赔；</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8）精神疾病、错乱、失常；受酒精、毒品、管制药物影响或滥用、误用药物。</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9）药物过敏或其他医疗导致的伤害；</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10）未能取得医院或医生证明；</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11）根据救援机构的意见，可以不须医疗运送或送返而被保险人坚持进行的医疗运送或送返；</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12）任何因第三者提供服务而被保险人不需负责给付的费用或任何已包含在旅行收费中的费用；</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13）任何未经救援机构批准并安排的运送和送返费用；</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14）根据被保险人的主诊医生的意见，可以被合理延迟至被保险人返回境内后进行而被保险人坚持在境外进行的</w:t>
            </w:r>
          </w:p>
          <w:p>
            <w:pPr>
              <w:snapToGrid w:val="0"/>
              <w:spacing w:line="240" w:lineRule="auto"/>
              <w:ind w:firstLine="361" w:firstLineChars="200"/>
              <w:rPr>
                <w:rFonts w:hint="eastAsia" w:ascii="仿宋_GB2312" w:hAnsi="宋体" w:eastAsia="仿宋_GB2312"/>
                <w:b/>
                <w:sz w:val="18"/>
                <w:szCs w:val="18"/>
              </w:rPr>
            </w:pPr>
            <w:r>
              <w:rPr>
                <w:rFonts w:hint="eastAsia" w:ascii="仿宋_GB2312" w:hAnsi="宋体" w:eastAsia="仿宋_GB2312"/>
                <w:b/>
                <w:sz w:val="18"/>
                <w:szCs w:val="18"/>
              </w:rPr>
              <w:t>治疗或手术。</w:t>
            </w:r>
          </w:p>
          <w:p>
            <w:pPr>
              <w:snapToGrid w:val="0"/>
              <w:spacing w:line="240" w:lineRule="auto"/>
              <w:rPr>
                <w:rFonts w:hint="eastAsia" w:ascii="仿宋_GB2312" w:hAnsi="宋体" w:eastAsia="仿宋_GB2312"/>
                <w:b/>
                <w:sz w:val="18"/>
                <w:szCs w:val="18"/>
              </w:rPr>
            </w:pPr>
          </w:p>
        </w:tc>
      </w:tr>
    </w:tbl>
    <w:p/>
    <w:p/>
    <w:p>
      <w:pPr>
        <w:pStyle w:val="4"/>
        <w:spacing w:line="240" w:lineRule="auto"/>
        <w:jc w:val="center"/>
        <w:rPr>
          <w:rFonts w:hint="eastAsia" w:ascii="宋体" w:hAnsi="宋体"/>
        </w:rPr>
      </w:pPr>
      <w:r>
        <w:rPr>
          <w:rFonts w:hint="eastAsia" w:ascii="宋体" w:hAnsi="宋体"/>
          <w:b/>
        </w:rPr>
        <w:t>京东安联财产保险有限公司</w:t>
      </w:r>
    </w:p>
    <w:p>
      <w:pPr>
        <w:spacing w:line="240" w:lineRule="auto"/>
        <w:jc w:val="center"/>
        <w:rPr>
          <w:rFonts w:ascii="宋体" w:hAnsi="宋体"/>
          <w:b/>
          <w:kern w:val="0"/>
          <w:szCs w:val="21"/>
        </w:rPr>
      </w:pPr>
      <w:r>
        <w:rPr>
          <w:rFonts w:hint="eastAsia" w:ascii="宋体" w:hAnsi="宋体"/>
          <w:b/>
          <w:kern w:val="0"/>
          <w:szCs w:val="21"/>
        </w:rPr>
        <w:t>附加旅行身故遗体送返保险条款（2019版）</w:t>
      </w:r>
    </w:p>
    <w:p>
      <w:pPr>
        <w:spacing w:line="240" w:lineRule="auto"/>
        <w:jc w:val="center"/>
        <w:rPr>
          <w:rFonts w:hint="eastAsia" w:ascii="宋体" w:hAnsi="宋体"/>
          <w:b/>
          <w:kern w:val="0"/>
          <w:sz w:val="20"/>
          <w:szCs w:val="21"/>
        </w:rPr>
      </w:pPr>
      <w:r>
        <w:rPr>
          <w:rFonts w:hint="eastAsia" w:ascii="宋体" w:hAnsi="宋体"/>
          <w:b/>
          <w:kern w:val="0"/>
          <w:sz w:val="20"/>
          <w:szCs w:val="21"/>
        </w:rPr>
        <w:t>(京东安联)(备-普通意外保险)【2020】(附) 349号</w:t>
      </w:r>
    </w:p>
    <w:tbl>
      <w:tblPr>
        <w:tblStyle w:val="2"/>
        <w:tblW w:w="11341" w:type="dxa"/>
        <w:tblInd w:w="-176" w:type="dxa"/>
        <w:tblLayout w:type="autofit"/>
        <w:tblCellMar>
          <w:top w:w="0" w:type="dxa"/>
          <w:left w:w="108" w:type="dxa"/>
          <w:bottom w:w="0" w:type="dxa"/>
          <w:right w:w="108" w:type="dxa"/>
        </w:tblCellMar>
      </w:tblPr>
      <w:tblGrid>
        <w:gridCol w:w="1183"/>
        <w:gridCol w:w="10158"/>
      </w:tblGrid>
      <w:tr>
        <w:tblPrEx>
          <w:tblCellMar>
            <w:top w:w="0" w:type="dxa"/>
            <w:left w:w="108" w:type="dxa"/>
            <w:bottom w:w="0" w:type="dxa"/>
            <w:right w:w="108" w:type="dxa"/>
          </w:tblCellMar>
        </w:tblPrEx>
        <w:trPr>
          <w:trHeight w:val="3370" w:hRule="atLeast"/>
        </w:trPr>
        <w:tc>
          <w:tcPr>
            <w:tcW w:w="1183" w:type="dxa"/>
            <w:shd w:val="clear" w:color="auto" w:fill="auto"/>
            <w:noWrap w:val="0"/>
            <w:vAlign w:val="top"/>
          </w:tcPr>
          <w:p>
            <w:pPr>
              <w:spacing w:line="240" w:lineRule="auto"/>
              <w:rPr>
                <w:sz w:val="18"/>
                <w:szCs w:val="18"/>
              </w:rPr>
            </w:pPr>
            <w:r>
              <w:rPr>
                <w:rFonts w:hint="eastAsia" w:ascii="仿宋_GB2312" w:hAnsi="宋体" w:eastAsia="仿宋_GB2312"/>
                <w:b/>
                <w:sz w:val="18"/>
                <w:szCs w:val="18"/>
              </w:rPr>
              <w:t>3.责任免除</w:t>
            </w:r>
          </w:p>
        </w:tc>
        <w:tc>
          <w:tcPr>
            <w:tcW w:w="10158" w:type="dxa"/>
            <w:shd w:val="clear" w:color="auto" w:fill="auto"/>
            <w:noWrap w:val="0"/>
            <w:vAlign w:val="top"/>
          </w:tcPr>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主合同《旅行人身意外伤害保险条款》中责任免除条款第（1）项至第（25）项均适用于本附加合同，若主合同中责任免除条款与本附加条款有相抵触之处，则应以本附加条款为准。</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因下列情形之一，直接或间接导致被保险人需要身故遗体送返的，或具备任一下列情形的，保险人不承担赔偿责任：</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 xml:space="preserve">1）保险人康复性治疗、物理治疗、安胎及分娩（包括剖腹产、流产及引产）、妊娠、不孕不育； </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2）被保险人美容、整形、矫形术、非必须紧急性治疗的手术、心理咨询及和角膜屈光成形手术；</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3）被保险人健康护理(含体检、健康体检、疗养、特别护理或静养)等非治疗性的行为及无客观病征证明其不健康</w:t>
            </w:r>
          </w:p>
          <w:p>
            <w:pPr>
              <w:snapToGrid w:val="0"/>
              <w:spacing w:line="240" w:lineRule="auto"/>
              <w:ind w:firstLine="181" w:firstLineChars="100"/>
              <w:rPr>
                <w:rFonts w:hint="eastAsia" w:ascii="仿宋_GB2312" w:hAnsi="宋体" w:eastAsia="仿宋_GB2312"/>
                <w:b/>
                <w:sz w:val="18"/>
                <w:szCs w:val="18"/>
              </w:rPr>
            </w:pPr>
            <w:r>
              <w:rPr>
                <w:rFonts w:hint="eastAsia" w:ascii="仿宋_GB2312" w:hAnsi="宋体" w:eastAsia="仿宋_GB2312"/>
                <w:b/>
                <w:sz w:val="18"/>
                <w:szCs w:val="18"/>
              </w:rPr>
              <w:t>及以捐献身体器官或接受器官移植为目的的医疗行为；</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4）被保险人移植人工器官、洗牙、洁齿、验光、牙齿治疗或手术及镶补，但因意外伤害引起的一般牙齿治疗或</w:t>
            </w:r>
          </w:p>
          <w:p>
            <w:pPr>
              <w:snapToGrid w:val="0"/>
              <w:spacing w:line="240" w:lineRule="auto"/>
              <w:ind w:firstLine="181" w:firstLineChars="100"/>
              <w:rPr>
                <w:rFonts w:hint="eastAsia" w:ascii="仿宋_GB2312" w:hAnsi="宋体" w:eastAsia="仿宋_GB2312"/>
                <w:b/>
                <w:sz w:val="18"/>
                <w:szCs w:val="18"/>
              </w:rPr>
            </w:pPr>
            <w:r>
              <w:rPr>
                <w:rFonts w:hint="eastAsia" w:ascii="仿宋_GB2312" w:hAnsi="宋体" w:eastAsia="仿宋_GB2312"/>
                <w:b/>
                <w:sz w:val="18"/>
                <w:szCs w:val="18"/>
              </w:rPr>
              <w:t>手术除外；</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5）被保险人先天性疾病和症状、遗传性疾病、先天性畸形或缺陷的治疗和康复；</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6）被保险人的既往病症（见释义）及其并发症；</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7）被保险人保单生效前患有心脑血管疾病、高血压或糖尿病，且在此次旅行开始后因心脑血管疾病、高血压或</w:t>
            </w:r>
          </w:p>
          <w:p>
            <w:pPr>
              <w:snapToGrid w:val="0"/>
              <w:spacing w:line="240" w:lineRule="auto"/>
              <w:ind w:firstLine="181" w:firstLineChars="100"/>
              <w:rPr>
                <w:rFonts w:hint="eastAsia" w:ascii="仿宋_GB2312" w:hAnsi="宋体" w:eastAsia="仿宋_GB2312"/>
                <w:b/>
                <w:sz w:val="18"/>
                <w:szCs w:val="18"/>
              </w:rPr>
            </w:pPr>
            <w:r>
              <w:rPr>
                <w:rFonts w:hint="eastAsia" w:ascii="仿宋_GB2312" w:hAnsi="宋体" w:eastAsia="仿宋_GB2312"/>
                <w:b/>
                <w:sz w:val="18"/>
                <w:szCs w:val="18"/>
              </w:rPr>
              <w:t>糖尿病或前述疾病并发症申请索赔；</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8）未能取得医院或医生证明；</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9）任何因第三者提供服务而被保险人不需负责给付的费用或任何已包含在旅行收费中的费用；</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10）任何未经救援机构批准并安排的遗体送返费用；</w:t>
            </w:r>
          </w:p>
          <w:p>
            <w:pPr>
              <w:snapToGrid w:val="0"/>
              <w:spacing w:line="240" w:lineRule="auto"/>
              <w:rPr>
                <w:rFonts w:hint="eastAsia" w:ascii="仿宋_GB2312" w:hAnsi="宋体" w:eastAsia="仿宋_GB2312"/>
                <w:b/>
                <w:sz w:val="18"/>
                <w:szCs w:val="18"/>
              </w:rPr>
            </w:pPr>
            <w:r>
              <w:rPr>
                <w:rFonts w:hint="eastAsia" w:ascii="仿宋_GB2312" w:hAnsi="宋体" w:eastAsia="仿宋_GB2312"/>
                <w:b/>
                <w:sz w:val="18"/>
                <w:szCs w:val="18"/>
              </w:rPr>
              <w:t>11）直接或间接因流行疫病或大规模流行疫病爆发导致的救援。</w:t>
            </w:r>
          </w:p>
        </w:tc>
      </w:tr>
    </w:tbl>
    <w:p/>
    <w:p/>
    <w:p>
      <w:pPr>
        <w:pStyle w:val="4"/>
        <w:spacing w:line="240" w:lineRule="auto"/>
        <w:jc w:val="center"/>
        <w:rPr>
          <w:rFonts w:hint="eastAsia" w:ascii="宋体" w:hAnsi="宋体"/>
        </w:rPr>
      </w:pPr>
      <w:r>
        <w:rPr>
          <w:rFonts w:hint="eastAsia" w:ascii="宋体" w:hAnsi="宋体"/>
          <w:b/>
        </w:rPr>
        <w:t>京东安联财产保险有限公司</w:t>
      </w:r>
    </w:p>
    <w:p>
      <w:pPr>
        <w:spacing w:line="240" w:lineRule="auto"/>
        <w:jc w:val="center"/>
        <w:rPr>
          <w:rFonts w:hint="eastAsia"/>
          <w:b/>
          <w:kern w:val="0"/>
          <w:szCs w:val="21"/>
        </w:rPr>
      </w:pPr>
      <w:r>
        <w:rPr>
          <w:rFonts w:hint="eastAsia"/>
          <w:b/>
          <w:kern w:val="0"/>
          <w:szCs w:val="21"/>
        </w:rPr>
        <w:t>附加个人新型冠状病毒疾病身故保险条款（2020版）</w:t>
      </w:r>
    </w:p>
    <w:p>
      <w:pPr>
        <w:spacing w:line="240" w:lineRule="auto"/>
        <w:jc w:val="center"/>
        <w:rPr>
          <w:rFonts w:ascii="宋体" w:hAnsi="宋体" w:cs="宋体"/>
          <w:b/>
          <w:color w:val="000000"/>
          <w:kern w:val="0"/>
          <w:sz w:val="22"/>
          <w:szCs w:val="22"/>
        </w:rPr>
      </w:pPr>
      <w:r>
        <w:rPr>
          <w:rFonts w:hint="eastAsia" w:ascii="宋体" w:hAnsi="宋体" w:cs="宋体"/>
          <w:b/>
          <w:color w:val="000000"/>
          <w:kern w:val="0"/>
          <w:sz w:val="22"/>
          <w:szCs w:val="22"/>
        </w:rPr>
        <w:t>C00005032622020020122612</w:t>
      </w:r>
    </w:p>
    <w:tbl>
      <w:tblPr>
        <w:tblStyle w:val="2"/>
        <w:tblW w:w="11341" w:type="dxa"/>
        <w:tblInd w:w="-176" w:type="dxa"/>
        <w:tblLayout w:type="autofit"/>
        <w:tblCellMar>
          <w:top w:w="0" w:type="dxa"/>
          <w:left w:w="108" w:type="dxa"/>
          <w:bottom w:w="0" w:type="dxa"/>
          <w:right w:w="108" w:type="dxa"/>
        </w:tblCellMar>
      </w:tblPr>
      <w:tblGrid>
        <w:gridCol w:w="1172"/>
        <w:gridCol w:w="10169"/>
      </w:tblGrid>
      <w:tr>
        <w:tblPrEx>
          <w:tblCellMar>
            <w:top w:w="0" w:type="dxa"/>
            <w:left w:w="108" w:type="dxa"/>
            <w:bottom w:w="0" w:type="dxa"/>
            <w:right w:w="108" w:type="dxa"/>
          </w:tblCellMar>
        </w:tblPrEx>
        <w:tc>
          <w:tcPr>
            <w:tcW w:w="1172" w:type="dxa"/>
            <w:noWrap w:val="0"/>
            <w:vAlign w:val="top"/>
          </w:tcPr>
          <w:p>
            <w:pPr>
              <w:spacing w:line="240" w:lineRule="auto"/>
              <w:rPr>
                <w:rFonts w:hint="eastAsia" w:ascii="仿宋_GB2312" w:hAnsi="宋体" w:eastAsia="仿宋_GB2312"/>
                <w:b/>
                <w:sz w:val="18"/>
                <w:szCs w:val="18"/>
              </w:rPr>
            </w:pPr>
            <w:r>
              <w:rPr>
                <w:rFonts w:hint="eastAsia" w:ascii="仿宋_GB2312" w:hAnsi="宋体" w:eastAsia="仿宋_GB2312"/>
                <w:b/>
                <w:sz w:val="18"/>
                <w:szCs w:val="18"/>
              </w:rPr>
              <w:t>6.责任免除</w:t>
            </w:r>
          </w:p>
          <w:p>
            <w:pPr>
              <w:spacing w:line="240" w:lineRule="auto"/>
              <w:rPr>
                <w:sz w:val="18"/>
                <w:szCs w:val="18"/>
              </w:rPr>
            </w:pPr>
          </w:p>
        </w:tc>
        <w:tc>
          <w:tcPr>
            <w:tcW w:w="10169" w:type="dxa"/>
            <w:noWrap w:val="0"/>
            <w:vAlign w:val="top"/>
          </w:tcPr>
          <w:p>
            <w:pPr>
              <w:pStyle w:val="5"/>
              <w:spacing w:line="300" w:lineRule="auto"/>
              <w:ind w:left="0" w:leftChars="0" w:firstLine="0" w:firstLineChars="0"/>
              <w:rPr>
                <w:rFonts w:hint="eastAsia" w:ascii="仿宋_GB2312" w:hAnsi="宋体" w:eastAsia="仿宋_GB2312"/>
                <w:b/>
                <w:sz w:val="18"/>
                <w:szCs w:val="18"/>
              </w:rPr>
            </w:pPr>
            <w:r>
              <w:rPr>
                <w:rFonts w:hint="eastAsia" w:ascii="仿宋_GB2312" w:hAnsi="宋体" w:eastAsia="仿宋_GB2312"/>
                <w:b/>
                <w:sz w:val="18"/>
                <w:szCs w:val="18"/>
              </w:rPr>
              <w:t>一、任何因下列情形之一导致被保险人身故的，或具备下列情形/行为的，保险人不承担给付责任：</w:t>
            </w:r>
          </w:p>
          <w:p>
            <w:pPr>
              <w:pStyle w:val="5"/>
              <w:numPr>
                <w:ilvl w:val="0"/>
                <w:numId w:val="6"/>
              </w:numPr>
              <w:spacing w:line="300" w:lineRule="auto"/>
              <w:ind w:leftChars="0" w:firstLineChars="0"/>
              <w:rPr>
                <w:rFonts w:hint="eastAsia" w:ascii="仿宋_GB2312" w:hAnsi="宋体" w:eastAsia="仿宋_GB2312"/>
                <w:b/>
                <w:sz w:val="18"/>
                <w:szCs w:val="18"/>
              </w:rPr>
            </w:pPr>
            <w:r>
              <w:rPr>
                <w:rFonts w:hint="eastAsia" w:ascii="仿宋_GB2312" w:hAnsi="宋体" w:eastAsia="仿宋_GB2312"/>
                <w:b/>
                <w:sz w:val="18"/>
                <w:szCs w:val="18"/>
              </w:rPr>
              <w:t>投保人或被保险人的故意行为；</w:t>
            </w:r>
          </w:p>
          <w:p>
            <w:pPr>
              <w:pStyle w:val="5"/>
              <w:numPr>
                <w:ilvl w:val="0"/>
                <w:numId w:val="6"/>
              </w:numPr>
              <w:spacing w:line="300" w:lineRule="auto"/>
              <w:ind w:leftChars="0" w:firstLineChars="0"/>
              <w:rPr>
                <w:rFonts w:ascii="仿宋_GB2312" w:hAnsi="宋体" w:eastAsia="仿宋_GB2312"/>
                <w:b/>
                <w:sz w:val="18"/>
                <w:szCs w:val="18"/>
              </w:rPr>
            </w:pPr>
            <w:r>
              <w:rPr>
                <w:rFonts w:hint="eastAsia" w:ascii="仿宋_GB2312" w:hAnsi="宋体" w:eastAsia="仿宋_GB2312"/>
                <w:b/>
                <w:sz w:val="18"/>
                <w:szCs w:val="18"/>
              </w:rPr>
              <w:t>被保险人在投保前确诊感染新型冠状病毒的或被确认为疑似病例；</w:t>
            </w:r>
          </w:p>
          <w:p>
            <w:pPr>
              <w:pStyle w:val="5"/>
              <w:numPr>
                <w:ilvl w:val="0"/>
                <w:numId w:val="6"/>
              </w:numPr>
              <w:spacing w:line="300" w:lineRule="auto"/>
              <w:ind w:leftChars="0" w:firstLineChars="0"/>
              <w:rPr>
                <w:rFonts w:hint="eastAsia" w:ascii="仿宋_GB2312" w:hAnsi="宋体" w:eastAsia="仿宋_GB2312"/>
                <w:b/>
                <w:sz w:val="18"/>
                <w:szCs w:val="18"/>
              </w:rPr>
            </w:pPr>
            <w:r>
              <w:rPr>
                <w:rFonts w:hint="eastAsia" w:ascii="仿宋_GB2312" w:hAnsi="宋体" w:eastAsia="仿宋_GB2312"/>
                <w:b/>
                <w:sz w:val="18"/>
                <w:szCs w:val="18"/>
              </w:rPr>
              <w:t>非新型冠状病毒及其并发症导致的身故。</w:t>
            </w:r>
          </w:p>
        </w:tc>
      </w:tr>
    </w:tbl>
    <w:p/>
    <w:p/>
    <w:p>
      <w:pPr>
        <w:jc w:val="center"/>
        <w:rPr>
          <w:rFonts w:hint="eastAsia" w:ascii="宋体" w:hAnsi="宋体"/>
          <w:b/>
          <w:szCs w:val="21"/>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95551"/>
    <w:multiLevelType w:val="multilevel"/>
    <w:tmpl w:val="0649555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B750BE"/>
    <w:multiLevelType w:val="multilevel"/>
    <w:tmpl w:val="15B750B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FDE6376"/>
    <w:multiLevelType w:val="multilevel"/>
    <w:tmpl w:val="3FDE637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BB371E"/>
    <w:multiLevelType w:val="multilevel"/>
    <w:tmpl w:val="58BB37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521A8A"/>
    <w:multiLevelType w:val="multilevel"/>
    <w:tmpl w:val="75521A8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79DF44AE"/>
    <w:multiLevelType w:val="multilevel"/>
    <w:tmpl w:val="79DF44AE"/>
    <w:lvl w:ilvl="0" w:tentative="0">
      <w:start w:val="1"/>
      <w:numFmt w:val="decimal"/>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GFkMzM4OTE0MTViMjE0MDM0MDZkMjIwZTQ4NzQifQ=="/>
  </w:docVars>
  <w:rsids>
    <w:rsidRoot w:val="00000000"/>
    <w:rsid w:val="13C77BE3"/>
    <w:rsid w:val="444B495E"/>
    <w:rsid w:val="4DD11E5B"/>
    <w:rsid w:val="7F59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rPr>
      <w:rFonts w:ascii="Calibri" w:hAnsi="Calibri" w:cs="宋体"/>
      <w:kern w:val="0"/>
      <w:szCs w:val="21"/>
    </w:rPr>
  </w:style>
  <w:style w:type="paragraph" w:customStyle="1" w:styleId="5">
    <w:name w:val="条款正文"/>
    <w:basedOn w:val="1"/>
    <w:qFormat/>
    <w:uiPriority w:val="0"/>
    <w:pPr>
      <w:adjustRightInd w:val="0"/>
      <w:snapToGrid w:val="0"/>
      <w:ind w:left="840" w:leftChars="400" w:firstLine="420" w:firstLineChars="200"/>
    </w:pPr>
    <w:rPr>
      <w:rFonts w:ascii="Calibri" w:hAnsi="Calibri"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7251</Words>
  <Characters>7527</Characters>
  <Lines>0</Lines>
  <Paragraphs>0</Paragraphs>
  <TotalTime>1</TotalTime>
  <ScaleCrop>false</ScaleCrop>
  <LinksUpToDate>false</LinksUpToDate>
  <CharactersWithSpaces>7551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2022-08-16T07:14:00Z</dcterms:created>
  <dc:creator>Administrator</dc:creator>
  <cp:lastModifiedBy>Administrator</cp:lastModifiedBy>
  <dcterms:modified xsi:type="dcterms:W3CDTF">2022-12-20T10:39:13Z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DE0E1ECA6D8B433FA0D7B32C93172685</vt:lpwstr>
  </property>
</Properties>
</file>